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38EAD" w14:textId="1FFFE3D0" w:rsidR="00432876" w:rsidRDefault="00432876" w:rsidP="00432876">
      <w:pPr>
        <w:tabs>
          <w:tab w:val="center" w:pos="4536"/>
          <w:tab w:val="right" w:pos="8280"/>
          <w:tab w:val="right" w:pos="9639"/>
        </w:tabs>
        <w:ind w:right="2"/>
        <w:rPr>
          <w:rFonts w:ascii="Arial" w:eastAsia="Batang" w:hAnsi="Arial" w:cs="Arial"/>
          <w:b/>
          <w:bCs/>
        </w:rPr>
      </w:pPr>
      <w:r>
        <w:rPr>
          <w:rFonts w:ascii="Arial" w:hAnsi="Arial" w:cs="Arial"/>
          <w:b/>
          <w:bCs/>
        </w:rPr>
        <w:t>3GPP TSG RAN WG1 #116</w:t>
      </w:r>
      <w:r>
        <w:rPr>
          <w:rFonts w:ascii="Arial" w:hAnsi="Arial" w:cs="Arial"/>
          <w:b/>
          <w:bCs/>
        </w:rPr>
        <w:tab/>
      </w:r>
      <w:r>
        <w:rPr>
          <w:rFonts w:ascii="Arial" w:eastAsia="Batang" w:hAnsi="Arial" w:cs="Arial"/>
          <w:b/>
          <w:bCs/>
        </w:rPr>
        <w:tab/>
      </w:r>
      <w:r w:rsidR="00334D95">
        <w:rPr>
          <w:rFonts w:ascii="Arial" w:eastAsia="Batang" w:hAnsi="Arial" w:cs="Arial"/>
          <w:b/>
          <w:bCs/>
        </w:rPr>
        <w:tab/>
        <w:t xml:space="preserve">        </w:t>
      </w:r>
      <w:r>
        <w:rPr>
          <w:rFonts w:ascii="Arial" w:eastAsia="Batang" w:hAnsi="Arial" w:cs="Arial"/>
          <w:b/>
          <w:bCs/>
        </w:rPr>
        <w:t>R1-240131</w:t>
      </w:r>
      <w:r w:rsidR="00334D95">
        <w:rPr>
          <w:rFonts w:ascii="Arial" w:eastAsia="Batang" w:hAnsi="Arial" w:cs="Arial"/>
          <w:b/>
          <w:bCs/>
        </w:rPr>
        <w:t>2</w:t>
      </w:r>
    </w:p>
    <w:p w14:paraId="70952EAE" w14:textId="77777777" w:rsidR="00432876" w:rsidRDefault="00432876" w:rsidP="00432876">
      <w:pPr>
        <w:tabs>
          <w:tab w:val="center" w:pos="4536"/>
          <w:tab w:val="right" w:pos="9072"/>
        </w:tabs>
        <w:rPr>
          <w:rFonts w:ascii="Arial" w:eastAsia="MS Mincho" w:hAnsi="Arial" w:cs="Arial"/>
          <w:b/>
          <w:bCs/>
          <w:lang w:eastAsia="ja-JP"/>
        </w:rPr>
      </w:pPr>
      <w:r>
        <w:rPr>
          <w:rFonts w:ascii="Arial" w:eastAsia="MS Mincho" w:hAnsi="Arial" w:cs="Arial"/>
          <w:b/>
          <w:bCs/>
          <w:lang w:eastAsia="ja-JP"/>
        </w:rPr>
        <w:t>Athens, Greece, February 26</w:t>
      </w:r>
      <w:r>
        <w:rPr>
          <w:rFonts w:ascii="Arial" w:eastAsia="MS Mincho" w:hAnsi="Arial" w:cs="Arial"/>
          <w:b/>
          <w:bCs/>
          <w:vertAlign w:val="superscript"/>
          <w:lang w:eastAsia="ja-JP"/>
        </w:rPr>
        <w:t>th</w:t>
      </w:r>
      <w:r>
        <w:rPr>
          <w:rFonts w:ascii="Arial" w:eastAsia="MS Mincho" w:hAnsi="Arial" w:cs="Arial"/>
          <w:b/>
          <w:bCs/>
          <w:lang w:eastAsia="ja-JP"/>
        </w:rPr>
        <w:t xml:space="preserve"> – March 1</w:t>
      </w:r>
      <w:r>
        <w:rPr>
          <w:rFonts w:ascii="Arial" w:eastAsia="MS Mincho" w:hAnsi="Arial" w:cs="Arial"/>
          <w:b/>
          <w:bCs/>
          <w:vertAlign w:val="superscript"/>
          <w:lang w:eastAsia="ja-JP"/>
        </w:rPr>
        <w:t>st</w:t>
      </w:r>
      <w:r>
        <w:rPr>
          <w:rFonts w:ascii="Arial" w:eastAsia="MS Mincho" w:hAnsi="Arial" w:cs="Arial"/>
          <w:b/>
          <w:bCs/>
          <w:lang w:eastAsia="ja-JP"/>
        </w:rPr>
        <w:t>, 2024</w:t>
      </w:r>
    </w:p>
    <w:p w14:paraId="262CAD04" w14:textId="77777777" w:rsidR="00432876" w:rsidRDefault="00432876" w:rsidP="00432876">
      <w:pPr>
        <w:spacing w:after="60"/>
        <w:ind w:left="1985" w:hanging="1985"/>
        <w:rPr>
          <w:rFonts w:ascii="Arial" w:eastAsia="PMingLiU" w:hAnsi="Arial" w:cs="Arial"/>
          <w:b/>
          <w:sz w:val="20"/>
          <w:szCs w:val="20"/>
          <w:lang w:eastAsia="en-US"/>
        </w:rPr>
      </w:pPr>
    </w:p>
    <w:p w14:paraId="1AF64A32" w14:textId="1A40AD5D" w:rsidR="00432876" w:rsidRDefault="00432876" w:rsidP="00432876">
      <w:pPr>
        <w:spacing w:after="60"/>
        <w:ind w:left="1985" w:hanging="1985"/>
        <w:rPr>
          <w:rFonts w:ascii="Arial" w:hAnsi="Arial" w:cs="Arial"/>
          <w:b/>
          <w:bCs/>
          <w:sz w:val="22"/>
          <w:szCs w:val="22"/>
        </w:rPr>
      </w:pPr>
      <w:r>
        <w:rPr>
          <w:rFonts w:ascii="Arial" w:hAnsi="Arial" w:cs="Arial"/>
          <w:b/>
          <w:sz w:val="22"/>
          <w:szCs w:val="22"/>
        </w:rPr>
        <w:t>Agenda item:</w:t>
      </w:r>
      <w:r>
        <w:rPr>
          <w:rFonts w:ascii="Arial" w:hAnsi="Arial" w:cs="Arial"/>
          <w:b/>
          <w:sz w:val="22"/>
          <w:szCs w:val="22"/>
        </w:rPr>
        <w:tab/>
        <w:t>8.</w:t>
      </w:r>
      <w:r w:rsidR="004664EC">
        <w:rPr>
          <w:rFonts w:ascii="Arial" w:hAnsi="Arial" w:cs="Arial"/>
          <w:b/>
          <w:sz w:val="22"/>
          <w:szCs w:val="22"/>
        </w:rPr>
        <w:t>5</w:t>
      </w:r>
    </w:p>
    <w:p w14:paraId="75892E89" w14:textId="0B08CEAD" w:rsidR="00432876" w:rsidRDefault="00432876" w:rsidP="00432876">
      <w:pPr>
        <w:spacing w:after="60"/>
        <w:ind w:left="1985" w:hanging="1985"/>
        <w:rPr>
          <w:rFonts w:ascii="Arial" w:hAnsi="Arial" w:cs="Arial"/>
          <w:b/>
          <w:bCs/>
          <w:sz w:val="22"/>
          <w:szCs w:val="22"/>
        </w:rPr>
      </w:pPr>
      <w:r>
        <w:rPr>
          <w:rFonts w:ascii="Arial" w:hAnsi="Arial" w:cs="Arial"/>
          <w:b/>
          <w:sz w:val="22"/>
          <w:szCs w:val="22"/>
        </w:rPr>
        <w:t>Title:</w:t>
      </w:r>
      <w:r>
        <w:rPr>
          <w:rFonts w:ascii="Arial" w:hAnsi="Arial" w:cs="Arial"/>
          <w:b/>
          <w:sz w:val="22"/>
          <w:szCs w:val="22"/>
        </w:rPr>
        <w:tab/>
      </w:r>
      <w:r w:rsidR="0097780C" w:rsidRPr="0097780C">
        <w:rPr>
          <w:rFonts w:ascii="Arial" w:hAnsi="Arial" w:cs="Arial"/>
          <w:b/>
          <w:sz w:val="22"/>
          <w:szCs w:val="22"/>
        </w:rPr>
        <w:t>On maintenance for mobility enhancements</w:t>
      </w:r>
    </w:p>
    <w:p w14:paraId="2ACB3DD3" w14:textId="77777777" w:rsidR="00432876" w:rsidRDefault="00432876" w:rsidP="00432876">
      <w:pPr>
        <w:spacing w:after="60"/>
        <w:ind w:left="1985" w:hanging="1985"/>
        <w:rPr>
          <w:rFonts w:ascii="Arial" w:hAnsi="Arial" w:cs="Arial"/>
          <w:b/>
          <w:bCs/>
          <w:sz w:val="22"/>
          <w:szCs w:val="22"/>
        </w:rPr>
      </w:pPr>
      <w:r>
        <w:rPr>
          <w:rFonts w:ascii="Arial" w:hAnsi="Arial" w:cs="Arial"/>
          <w:b/>
          <w:sz w:val="22"/>
          <w:szCs w:val="22"/>
        </w:rPr>
        <w:t>Source:</w:t>
      </w:r>
      <w:r>
        <w:rPr>
          <w:rFonts w:ascii="Arial" w:hAnsi="Arial" w:cs="Arial"/>
          <w:b/>
          <w:bCs/>
          <w:sz w:val="22"/>
          <w:szCs w:val="22"/>
        </w:rPr>
        <w:tab/>
        <w:t>MediaTek Inc.</w:t>
      </w:r>
    </w:p>
    <w:p w14:paraId="520F8B76" w14:textId="77777777" w:rsidR="00432876" w:rsidRDefault="00432876" w:rsidP="00432876">
      <w:pPr>
        <w:spacing w:after="60"/>
        <w:ind w:left="1985" w:hanging="1985"/>
        <w:rPr>
          <w:rFonts w:ascii="Arial" w:hAnsi="Arial" w:cs="Arial"/>
          <w:b/>
          <w:bCs/>
          <w:sz w:val="22"/>
          <w:szCs w:val="22"/>
        </w:rPr>
      </w:pPr>
      <w:r>
        <w:rPr>
          <w:rFonts w:ascii="Arial" w:hAnsi="Arial" w:cs="Arial"/>
          <w:b/>
          <w:sz w:val="22"/>
          <w:szCs w:val="22"/>
        </w:rPr>
        <w:t>Document for:</w:t>
      </w:r>
      <w:r>
        <w:rPr>
          <w:rFonts w:ascii="Arial" w:hAnsi="Arial" w:cs="Arial"/>
          <w:b/>
          <w:bCs/>
          <w:sz w:val="22"/>
          <w:szCs w:val="22"/>
        </w:rPr>
        <w:tab/>
        <w:t>Discussion and Decision</w:t>
      </w:r>
    </w:p>
    <w:p w14:paraId="2D57680F" w14:textId="65BB70AD" w:rsidR="00494DC2" w:rsidRPr="007D4109" w:rsidRDefault="00000000" w:rsidP="004366E0">
      <w:pPr>
        <w:spacing w:afterLines="50" w:after="120"/>
        <w:rPr>
          <w:b/>
          <w:sz w:val="28"/>
        </w:rPr>
      </w:pPr>
      <w:r>
        <w:pict w14:anchorId="0D3FDAD9">
          <v:rect id="_x0000_i1025" style="width:415.3pt;height:1pt" o:hralign="center" o:hrstd="t" o:hrnoshade="t" o:hr="t" fillcolor="black [3213]" stroked="f"/>
        </w:pict>
      </w:r>
    </w:p>
    <w:p w14:paraId="02219E3F" w14:textId="2423A8AD" w:rsidR="004E01EA" w:rsidRPr="00787AB1" w:rsidRDefault="00494DC2" w:rsidP="008640D4">
      <w:pPr>
        <w:pStyle w:val="ListParagraph"/>
        <w:numPr>
          <w:ilvl w:val="0"/>
          <w:numId w:val="5"/>
        </w:numPr>
        <w:spacing w:afterLines="50" w:after="120"/>
        <w:outlineLvl w:val="0"/>
        <w:rPr>
          <w:b/>
          <w:sz w:val="28"/>
        </w:rPr>
      </w:pPr>
      <w:r w:rsidRPr="007D4109">
        <w:rPr>
          <w:b/>
          <w:sz w:val="28"/>
        </w:rPr>
        <w:t>Introduction</w:t>
      </w:r>
    </w:p>
    <w:p w14:paraId="310CC320" w14:textId="727A79E2" w:rsidR="00C00AF2" w:rsidRPr="00787AB1" w:rsidRDefault="00787AB1" w:rsidP="008640D4">
      <w:pPr>
        <w:rPr>
          <w:sz w:val="22"/>
          <w:szCs w:val="20"/>
        </w:rPr>
      </w:pPr>
      <w:r w:rsidRPr="00787AB1">
        <w:rPr>
          <w:sz w:val="22"/>
          <w:szCs w:val="20"/>
        </w:rPr>
        <w:t xml:space="preserve">In </w:t>
      </w:r>
      <w:r w:rsidR="00C00AF2" w:rsidRPr="00787AB1">
        <w:rPr>
          <w:sz w:val="22"/>
          <w:szCs w:val="20"/>
        </w:rPr>
        <w:t>this contribution</w:t>
      </w:r>
      <w:r w:rsidRPr="00787AB1">
        <w:rPr>
          <w:sz w:val="22"/>
          <w:szCs w:val="20"/>
        </w:rPr>
        <w:t xml:space="preserve">, we discuss </w:t>
      </w:r>
      <w:r w:rsidR="006173EF" w:rsidRPr="00787AB1">
        <w:rPr>
          <w:sz w:val="22"/>
          <w:szCs w:val="20"/>
        </w:rPr>
        <w:t>our view</w:t>
      </w:r>
      <w:r w:rsidR="00C00AF2" w:rsidRPr="00787AB1">
        <w:rPr>
          <w:sz w:val="22"/>
          <w:szCs w:val="20"/>
        </w:rPr>
        <w:t xml:space="preserve"> on </w:t>
      </w:r>
      <w:r w:rsidR="00756103" w:rsidRPr="00787AB1">
        <w:rPr>
          <w:sz w:val="22"/>
          <w:szCs w:val="20"/>
        </w:rPr>
        <w:t xml:space="preserve">remaining issues of </w:t>
      </w:r>
      <w:r w:rsidR="00C00AF2" w:rsidRPr="00787AB1">
        <w:rPr>
          <w:sz w:val="22"/>
          <w:szCs w:val="20"/>
        </w:rPr>
        <w:t>L1 measurement</w:t>
      </w:r>
      <w:r w:rsidR="00C36DC2" w:rsidRPr="00787AB1">
        <w:rPr>
          <w:sz w:val="22"/>
          <w:szCs w:val="20"/>
        </w:rPr>
        <w:t xml:space="preserve"> enhancements</w:t>
      </w:r>
      <w:r w:rsidR="00190C77" w:rsidRPr="00787AB1">
        <w:rPr>
          <w:sz w:val="22"/>
          <w:szCs w:val="20"/>
        </w:rPr>
        <w:t>,</w:t>
      </w:r>
      <w:r w:rsidR="00C36DC2" w:rsidRPr="00787AB1">
        <w:rPr>
          <w:sz w:val="22"/>
          <w:szCs w:val="20"/>
        </w:rPr>
        <w:t xml:space="preserve"> TCI framework</w:t>
      </w:r>
      <w:r w:rsidR="00190C77" w:rsidRPr="00787AB1">
        <w:rPr>
          <w:sz w:val="22"/>
          <w:szCs w:val="20"/>
        </w:rPr>
        <w:t>, and beam indication</w:t>
      </w:r>
      <w:r w:rsidR="006173EF" w:rsidRPr="00787AB1">
        <w:rPr>
          <w:sz w:val="22"/>
          <w:szCs w:val="20"/>
        </w:rPr>
        <w:t xml:space="preserve"> for inter-cell </w:t>
      </w:r>
      <w:r w:rsidR="002D1F31" w:rsidRPr="00787AB1">
        <w:rPr>
          <w:sz w:val="22"/>
          <w:szCs w:val="20"/>
        </w:rPr>
        <w:t>mobility</w:t>
      </w:r>
      <w:r w:rsidR="006173EF" w:rsidRPr="00787AB1">
        <w:rPr>
          <w:sz w:val="22"/>
          <w:szCs w:val="20"/>
        </w:rPr>
        <w:t xml:space="preserve">. </w:t>
      </w:r>
    </w:p>
    <w:p w14:paraId="479BFEA9" w14:textId="165C02DE" w:rsidR="00494DC2" w:rsidRPr="007D4109" w:rsidRDefault="00000000"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0303EB60" w14:textId="58799736" w:rsidR="000D5DFA" w:rsidRDefault="005332BA" w:rsidP="008640D4">
      <w:pPr>
        <w:pStyle w:val="ListParagraph"/>
        <w:numPr>
          <w:ilvl w:val="0"/>
          <w:numId w:val="5"/>
        </w:numPr>
        <w:spacing w:beforeLines="50" w:before="120" w:afterLines="50" w:after="120"/>
        <w:contextualSpacing w:val="0"/>
        <w:outlineLvl w:val="0"/>
        <w:rPr>
          <w:b/>
          <w:sz w:val="28"/>
        </w:rPr>
      </w:pPr>
      <w:bookmarkStart w:id="0" w:name="_Ref494794648"/>
      <w:r>
        <w:rPr>
          <w:b/>
          <w:sz w:val="28"/>
        </w:rPr>
        <w:t>LTM beam management</w:t>
      </w:r>
      <w:r w:rsidR="00A83B05">
        <w:rPr>
          <w:b/>
          <w:sz w:val="28"/>
        </w:rPr>
        <w:t xml:space="preserve"> discussion</w:t>
      </w:r>
    </w:p>
    <w:p w14:paraId="50F46A8A" w14:textId="6173A925" w:rsidR="005D66E6" w:rsidRPr="000C083E" w:rsidRDefault="00A83B05" w:rsidP="00E239E3">
      <w:pPr>
        <w:rPr>
          <w:u w:val="single"/>
        </w:rPr>
      </w:pPr>
      <w:r w:rsidRPr="000C083E">
        <w:rPr>
          <w:u w:val="single"/>
        </w:rPr>
        <w:t xml:space="preserve">TCI state </w:t>
      </w:r>
      <w:r w:rsidR="005332BA" w:rsidRPr="000C083E">
        <w:rPr>
          <w:u w:val="single"/>
        </w:rPr>
        <w:t>list management</w:t>
      </w:r>
    </w:p>
    <w:p w14:paraId="2E398D3D" w14:textId="77777777" w:rsidR="00B20E38" w:rsidRPr="00A54E4E" w:rsidRDefault="00B20E38" w:rsidP="004C740E">
      <w:pPr>
        <w:jc w:val="both"/>
        <w:rPr>
          <w:sz w:val="22"/>
          <w:szCs w:val="22"/>
        </w:rPr>
      </w:pPr>
    </w:p>
    <w:p w14:paraId="0DA335B5" w14:textId="6E66EAE5" w:rsidR="00F00033" w:rsidRDefault="00E066D8" w:rsidP="004C740E">
      <w:pPr>
        <w:jc w:val="both"/>
        <w:rPr>
          <w:sz w:val="22"/>
          <w:szCs w:val="22"/>
        </w:rPr>
      </w:pPr>
      <w:r w:rsidRPr="00A54E4E">
        <w:rPr>
          <w:sz w:val="22"/>
          <w:szCs w:val="22"/>
        </w:rPr>
        <w:t xml:space="preserve">The </w:t>
      </w:r>
      <w:r w:rsidR="00F00033" w:rsidRPr="00A54E4E">
        <w:rPr>
          <w:sz w:val="22"/>
          <w:szCs w:val="22"/>
        </w:rPr>
        <w:t xml:space="preserve">functionalities of </w:t>
      </w:r>
      <w:r w:rsidRPr="00A54E4E">
        <w:rPr>
          <w:sz w:val="22"/>
          <w:szCs w:val="22"/>
        </w:rPr>
        <w:t xml:space="preserve">the target cell TCI state list after cell switch and the associated </w:t>
      </w:r>
      <w:r w:rsidR="00B20E38" w:rsidRPr="00A54E4E">
        <w:rPr>
          <w:sz w:val="22"/>
          <w:szCs w:val="22"/>
        </w:rPr>
        <w:t xml:space="preserve">candidate cell </w:t>
      </w:r>
      <w:r w:rsidR="00F00033" w:rsidRPr="00A54E4E">
        <w:rPr>
          <w:sz w:val="22"/>
          <w:szCs w:val="22"/>
        </w:rPr>
        <w:t xml:space="preserve">LTM </w:t>
      </w:r>
      <w:r w:rsidR="00B20E38" w:rsidRPr="00A54E4E">
        <w:rPr>
          <w:sz w:val="22"/>
          <w:szCs w:val="22"/>
        </w:rPr>
        <w:t xml:space="preserve">TCI state list </w:t>
      </w:r>
      <w:r w:rsidR="00F00033" w:rsidRPr="00A54E4E">
        <w:rPr>
          <w:sz w:val="22"/>
          <w:szCs w:val="22"/>
        </w:rPr>
        <w:t>and the relation between them were discussed in RAN1 #114bis meeting based on the following proposal:</w:t>
      </w:r>
    </w:p>
    <w:p w14:paraId="6429DFB2" w14:textId="77777777" w:rsidR="00A54E4E" w:rsidRPr="00A54E4E" w:rsidRDefault="00A54E4E" w:rsidP="004C740E">
      <w:pPr>
        <w:jc w:val="both"/>
        <w:rPr>
          <w:sz w:val="22"/>
          <w:szCs w:val="22"/>
        </w:rPr>
      </w:pPr>
    </w:p>
    <w:tbl>
      <w:tblPr>
        <w:tblStyle w:val="TableGrid"/>
        <w:tblW w:w="0" w:type="auto"/>
        <w:tblLook w:val="04A0" w:firstRow="1" w:lastRow="0" w:firstColumn="1" w:lastColumn="0" w:noHBand="0" w:noVBand="1"/>
      </w:tblPr>
      <w:tblGrid>
        <w:gridCol w:w="10188"/>
      </w:tblGrid>
      <w:tr w:rsidR="00F00033" w:rsidRPr="00A54E4E" w14:paraId="27CD006F" w14:textId="77777777" w:rsidTr="00F00033">
        <w:tc>
          <w:tcPr>
            <w:tcW w:w="10188" w:type="dxa"/>
          </w:tcPr>
          <w:p w14:paraId="6C4BDE44" w14:textId="77777777" w:rsidR="00F00033" w:rsidRPr="00A54E4E" w:rsidRDefault="00F00033" w:rsidP="00F00033">
            <w:pPr>
              <w:pStyle w:val="ListParagraph"/>
              <w:numPr>
                <w:ilvl w:val="0"/>
                <w:numId w:val="26"/>
              </w:numPr>
              <w:tabs>
                <w:tab w:val="left" w:pos="1440"/>
              </w:tabs>
              <w:snapToGrid w:val="0"/>
              <w:spacing w:after="100" w:afterAutospacing="1"/>
              <w:contextualSpacing w:val="0"/>
              <w:jc w:val="both"/>
              <w:rPr>
                <w:sz w:val="22"/>
                <w:szCs w:val="22"/>
                <w:highlight w:val="cyan"/>
              </w:rPr>
            </w:pPr>
            <w:r w:rsidRPr="00A54E4E">
              <w:rPr>
                <w:sz w:val="22"/>
                <w:szCs w:val="22"/>
                <w:highlight w:val="cyan"/>
              </w:rPr>
              <w:t>The TCI state indicated in the cell switch command is associated with</w:t>
            </w:r>
          </w:p>
          <w:p w14:paraId="359ACBF8" w14:textId="77777777" w:rsidR="00F00033" w:rsidRPr="00A54E4E" w:rsidRDefault="00F00033" w:rsidP="00F00033">
            <w:pPr>
              <w:pStyle w:val="ListParagraph"/>
              <w:numPr>
                <w:ilvl w:val="1"/>
                <w:numId w:val="26"/>
              </w:numPr>
              <w:tabs>
                <w:tab w:val="left" w:pos="720"/>
              </w:tabs>
              <w:snapToGrid w:val="0"/>
              <w:spacing w:after="100" w:afterAutospacing="1"/>
              <w:contextualSpacing w:val="0"/>
              <w:jc w:val="both"/>
              <w:rPr>
                <w:sz w:val="22"/>
                <w:szCs w:val="22"/>
                <w:highlight w:val="cyan"/>
              </w:rPr>
            </w:pPr>
            <w:r w:rsidRPr="00A54E4E">
              <w:rPr>
                <w:sz w:val="22"/>
                <w:szCs w:val="22"/>
                <w:highlight w:val="cyan"/>
              </w:rPr>
              <w:t>LTM TCI state pool of the target cell, i.e. configured under LTM-Candidate-r18</w:t>
            </w:r>
          </w:p>
          <w:p w14:paraId="0E8FA6EA" w14:textId="77777777" w:rsidR="00F00033" w:rsidRPr="00A54E4E" w:rsidRDefault="00F00033" w:rsidP="00F00033">
            <w:pPr>
              <w:pStyle w:val="ListParagraph"/>
              <w:numPr>
                <w:ilvl w:val="0"/>
                <w:numId w:val="26"/>
              </w:numPr>
              <w:tabs>
                <w:tab w:val="left" w:pos="1440"/>
                <w:tab w:val="left" w:pos="2160"/>
              </w:tabs>
              <w:snapToGrid w:val="0"/>
              <w:spacing w:after="100" w:afterAutospacing="1"/>
              <w:contextualSpacing w:val="0"/>
              <w:jc w:val="both"/>
              <w:rPr>
                <w:sz w:val="22"/>
                <w:szCs w:val="22"/>
              </w:rPr>
            </w:pPr>
            <w:r w:rsidRPr="00A54E4E">
              <w:rPr>
                <w:sz w:val="22"/>
                <w:szCs w:val="22"/>
              </w:rPr>
              <w:t xml:space="preserve">UE uses the TCI state provided in the cell switch command after receiving cell switch command until a TCI state </w:t>
            </w:r>
            <w:r w:rsidRPr="00A54E4E">
              <w:rPr>
                <w:sz w:val="22"/>
                <w:szCs w:val="22"/>
                <w:highlight w:val="yellow"/>
              </w:rPr>
              <w:t>[in the new serving cell]</w:t>
            </w:r>
            <w:r w:rsidRPr="00A54E4E">
              <w:rPr>
                <w:sz w:val="22"/>
                <w:szCs w:val="22"/>
              </w:rPr>
              <w:t xml:space="preserve"> is indicated</w:t>
            </w:r>
          </w:p>
          <w:p w14:paraId="17A17332" w14:textId="15765F85" w:rsidR="00F00033" w:rsidRPr="00A54E4E" w:rsidRDefault="00F00033" w:rsidP="0010186E">
            <w:pPr>
              <w:pStyle w:val="ListParagraph"/>
              <w:numPr>
                <w:ilvl w:val="1"/>
                <w:numId w:val="26"/>
              </w:numPr>
              <w:tabs>
                <w:tab w:val="left" w:pos="2160"/>
              </w:tabs>
              <w:snapToGrid w:val="0"/>
              <w:spacing w:after="100" w:afterAutospacing="1"/>
              <w:contextualSpacing w:val="0"/>
              <w:jc w:val="both"/>
              <w:rPr>
                <w:sz w:val="22"/>
                <w:szCs w:val="22"/>
              </w:rPr>
            </w:pPr>
            <w:r w:rsidRPr="00A54E4E">
              <w:rPr>
                <w:sz w:val="22"/>
                <w:szCs w:val="22"/>
              </w:rPr>
              <w:t>Note: after TCI in the new serving cell is indicated, legacy BM is used.</w:t>
            </w:r>
          </w:p>
        </w:tc>
      </w:tr>
    </w:tbl>
    <w:p w14:paraId="34B34375" w14:textId="77777777" w:rsidR="00F00033" w:rsidRPr="00A54E4E" w:rsidRDefault="00F00033" w:rsidP="00E239E3">
      <w:pPr>
        <w:rPr>
          <w:sz w:val="22"/>
          <w:szCs w:val="22"/>
        </w:rPr>
      </w:pPr>
    </w:p>
    <w:p w14:paraId="733262E5" w14:textId="1BE2BFC8" w:rsidR="008D00C3" w:rsidRPr="00A54E4E" w:rsidRDefault="008D00C3" w:rsidP="00E239E3">
      <w:pPr>
        <w:rPr>
          <w:sz w:val="22"/>
          <w:szCs w:val="22"/>
        </w:rPr>
      </w:pPr>
      <w:r w:rsidRPr="00A54E4E">
        <w:rPr>
          <w:sz w:val="22"/>
          <w:szCs w:val="22"/>
        </w:rPr>
        <w:t>The following agreement was made in RAN1-115 [</w:t>
      </w:r>
      <w:r w:rsidR="00656233">
        <w:rPr>
          <w:sz w:val="22"/>
          <w:szCs w:val="22"/>
        </w:rPr>
        <w:t>1</w:t>
      </w:r>
      <w:r w:rsidRPr="00A54E4E">
        <w:rPr>
          <w:sz w:val="22"/>
          <w:szCs w:val="22"/>
        </w:rPr>
        <w:t>]</w:t>
      </w:r>
      <w:r w:rsidR="009828DE" w:rsidRPr="00A54E4E">
        <w:rPr>
          <w:sz w:val="22"/>
          <w:szCs w:val="22"/>
        </w:rPr>
        <w:t>:</w:t>
      </w:r>
    </w:p>
    <w:tbl>
      <w:tblPr>
        <w:tblStyle w:val="TableGrid"/>
        <w:tblW w:w="0" w:type="auto"/>
        <w:tblLook w:val="04A0" w:firstRow="1" w:lastRow="0" w:firstColumn="1" w:lastColumn="0" w:noHBand="0" w:noVBand="1"/>
      </w:tblPr>
      <w:tblGrid>
        <w:gridCol w:w="10188"/>
      </w:tblGrid>
      <w:tr w:rsidR="00313D52" w:rsidRPr="00A54E4E" w14:paraId="12E1B11F" w14:textId="77777777" w:rsidTr="00313D52">
        <w:tc>
          <w:tcPr>
            <w:tcW w:w="10188" w:type="dxa"/>
          </w:tcPr>
          <w:p w14:paraId="5E7CBB4E" w14:textId="77777777" w:rsidR="00313D52" w:rsidRPr="00A54E4E" w:rsidRDefault="00313D52" w:rsidP="00313D52">
            <w:pPr>
              <w:rPr>
                <w:sz w:val="18"/>
                <w:szCs w:val="18"/>
                <w:lang w:eastAsia="x-none"/>
              </w:rPr>
            </w:pPr>
            <w:r w:rsidRPr="00A54E4E">
              <w:rPr>
                <w:sz w:val="22"/>
                <w:szCs w:val="18"/>
                <w:highlight w:val="green"/>
                <w:lang w:eastAsia="x-none"/>
              </w:rPr>
              <w:t>Agreement</w:t>
            </w:r>
          </w:p>
          <w:p w14:paraId="591B99A2" w14:textId="6DEFA909" w:rsidR="00313D52" w:rsidRPr="00A54E4E" w:rsidRDefault="00313D52" w:rsidP="00E239E3">
            <w:pPr>
              <w:rPr>
                <w:sz w:val="22"/>
                <w:szCs w:val="18"/>
                <w:lang w:eastAsia="x-none"/>
              </w:rPr>
            </w:pPr>
            <w:r w:rsidRPr="00A54E4E">
              <w:rPr>
                <w:sz w:val="22"/>
                <w:szCs w:val="18"/>
                <w:lang w:eastAsia="x-none"/>
              </w:rPr>
              <w:t>The TCI state indicated in the cell switch command is associated with LTM TCI state pool of the target cell, i.e. configured under LTM-Candidate-r18.</w:t>
            </w:r>
          </w:p>
        </w:tc>
      </w:tr>
    </w:tbl>
    <w:p w14:paraId="73CB1C49" w14:textId="77777777" w:rsidR="009828DE" w:rsidRPr="00A54E4E" w:rsidRDefault="009828DE" w:rsidP="00E239E3">
      <w:pPr>
        <w:rPr>
          <w:sz w:val="22"/>
          <w:szCs w:val="22"/>
        </w:rPr>
      </w:pPr>
    </w:p>
    <w:p w14:paraId="451E694C" w14:textId="77777777" w:rsidR="008D00C3" w:rsidRPr="00A54E4E" w:rsidRDefault="008D00C3" w:rsidP="004C740E">
      <w:pPr>
        <w:jc w:val="both"/>
        <w:rPr>
          <w:sz w:val="22"/>
          <w:szCs w:val="22"/>
        </w:rPr>
      </w:pPr>
    </w:p>
    <w:p w14:paraId="235B081F" w14:textId="6333E13C" w:rsidR="00F00033" w:rsidRPr="00A54E4E" w:rsidRDefault="002137CC" w:rsidP="004C740E">
      <w:pPr>
        <w:jc w:val="both"/>
        <w:rPr>
          <w:sz w:val="22"/>
          <w:szCs w:val="22"/>
        </w:rPr>
      </w:pPr>
      <w:r w:rsidRPr="00A54E4E">
        <w:rPr>
          <w:sz w:val="22"/>
          <w:szCs w:val="22"/>
        </w:rPr>
        <w:t xml:space="preserve">The remaining issue is whether the LTM TCI state list of target cell can be used for legacy beam management, e.g., </w:t>
      </w:r>
      <w:r w:rsidR="00222701" w:rsidRPr="00A54E4E">
        <w:rPr>
          <w:sz w:val="22"/>
          <w:szCs w:val="22"/>
        </w:rPr>
        <w:t xml:space="preserve">DCI based TCI state switch, and when does UE apply the legacy TCI state list after cell switch.  </w:t>
      </w:r>
    </w:p>
    <w:p w14:paraId="746E52BE" w14:textId="77777777" w:rsidR="00F00033" w:rsidRPr="00A54E4E" w:rsidRDefault="00F00033" w:rsidP="004C740E">
      <w:pPr>
        <w:jc w:val="both"/>
        <w:rPr>
          <w:sz w:val="22"/>
          <w:szCs w:val="22"/>
        </w:rPr>
      </w:pPr>
    </w:p>
    <w:p w14:paraId="6BA707F0" w14:textId="5EF6BC99" w:rsidR="00551164" w:rsidRDefault="007A77A9" w:rsidP="004C740E">
      <w:pPr>
        <w:jc w:val="both"/>
      </w:pPr>
      <w:r w:rsidRPr="00A54E4E">
        <w:rPr>
          <w:sz w:val="22"/>
          <w:szCs w:val="22"/>
        </w:rPr>
        <w:t xml:space="preserve">From our perspective, </w:t>
      </w:r>
      <w:r w:rsidR="00551164" w:rsidRPr="00A54E4E">
        <w:rPr>
          <w:sz w:val="22"/>
          <w:szCs w:val="22"/>
        </w:rPr>
        <w:t>we do not support</w:t>
      </w:r>
      <w:r w:rsidRPr="00A54E4E">
        <w:rPr>
          <w:sz w:val="22"/>
          <w:szCs w:val="22"/>
        </w:rPr>
        <w:t xml:space="preserve"> to mix the functionality of LTM TCI state </w:t>
      </w:r>
      <w:r w:rsidR="00551164" w:rsidRPr="00A54E4E">
        <w:rPr>
          <w:sz w:val="22"/>
          <w:szCs w:val="22"/>
        </w:rPr>
        <w:t xml:space="preserve">list and legacy TCI state list. </w:t>
      </w:r>
      <w:r w:rsidR="0033369A" w:rsidRPr="00A54E4E">
        <w:rPr>
          <w:sz w:val="22"/>
          <w:szCs w:val="22"/>
        </w:rPr>
        <w:t>Otherwise</w:t>
      </w:r>
      <w:r w:rsidR="00551164" w:rsidRPr="00A54E4E">
        <w:rPr>
          <w:sz w:val="22"/>
          <w:szCs w:val="22"/>
        </w:rPr>
        <w:t xml:space="preserve">, if LTM TCI state list can be operated as legacy TCI state list, such functionality will cause impact on legacy beam management and related specification update is inevitable. </w:t>
      </w:r>
      <w:r w:rsidR="00F12BA8" w:rsidRPr="00A54E4E">
        <w:rPr>
          <w:sz w:val="22"/>
          <w:szCs w:val="22"/>
        </w:rPr>
        <w:t xml:space="preserve">It is not desirable to discuss legacy beam management specification change in Rel-18 Mobility maintenance phase, especially the specification change doesn’t have clear benefit on mobility.  </w:t>
      </w:r>
      <w:r w:rsidR="002E5C5D" w:rsidRPr="00A54E4E">
        <w:rPr>
          <w:sz w:val="22"/>
          <w:szCs w:val="22"/>
        </w:rPr>
        <w:t xml:space="preserve">Therefore, the indicated TCI state </w:t>
      </w:r>
      <w:r w:rsidR="00274246" w:rsidRPr="00A54E4E">
        <w:rPr>
          <w:sz w:val="22"/>
          <w:szCs w:val="22"/>
        </w:rPr>
        <w:t xml:space="preserve">from LTM TCI State list </w:t>
      </w:r>
      <w:r w:rsidR="002E5C5D" w:rsidRPr="00A54E4E">
        <w:rPr>
          <w:sz w:val="22"/>
          <w:szCs w:val="22"/>
        </w:rPr>
        <w:t xml:space="preserve">should be </w:t>
      </w:r>
      <w:r w:rsidR="00274246" w:rsidRPr="00A54E4E">
        <w:rPr>
          <w:sz w:val="22"/>
          <w:szCs w:val="22"/>
        </w:rPr>
        <w:t xml:space="preserve">used after cell switch but within a transition period, similar to the procedure of initial access. After UE receives a TCI state indication from legacy signaling, the transition period is finished, and legacy beam management takes place. </w:t>
      </w:r>
    </w:p>
    <w:p w14:paraId="1536B56F" w14:textId="77777777" w:rsidR="00FF11A9" w:rsidRPr="003B4452" w:rsidRDefault="00FF11A9" w:rsidP="004C740E">
      <w:pPr>
        <w:jc w:val="both"/>
        <w:rPr>
          <w:sz w:val="22"/>
          <w:szCs w:val="22"/>
        </w:rPr>
      </w:pPr>
    </w:p>
    <w:p w14:paraId="3823DFEA" w14:textId="053AF7F6" w:rsidR="00FF11A9" w:rsidRPr="003B4452" w:rsidRDefault="00FF11A9" w:rsidP="004C740E">
      <w:pPr>
        <w:pStyle w:val="Caption"/>
        <w:jc w:val="both"/>
        <w:rPr>
          <w:b w:val="0"/>
          <w:bCs w:val="0"/>
          <w:sz w:val="22"/>
          <w:szCs w:val="22"/>
        </w:rPr>
      </w:pPr>
      <w:bookmarkStart w:id="1" w:name="_Ref149509203"/>
      <w:bookmarkStart w:id="2" w:name="_Ref149511274"/>
      <w:r w:rsidRPr="003B4452">
        <w:rPr>
          <w:sz w:val="22"/>
          <w:szCs w:val="22"/>
        </w:rPr>
        <w:t xml:space="preserve">Proposal </w:t>
      </w:r>
      <w:bookmarkEnd w:id="1"/>
      <w:r w:rsidR="008D3C81" w:rsidRPr="003B4452">
        <w:rPr>
          <w:sz w:val="22"/>
          <w:szCs w:val="22"/>
        </w:rPr>
        <w:t>1</w:t>
      </w:r>
      <w:r w:rsidRPr="003B4452">
        <w:rPr>
          <w:sz w:val="22"/>
          <w:szCs w:val="22"/>
        </w:rPr>
        <w:t xml:space="preserve">: For Rel-18 L1/L2 mobility, </w:t>
      </w:r>
      <w:r w:rsidR="00D35049" w:rsidRPr="003B4452">
        <w:rPr>
          <w:sz w:val="22"/>
          <w:szCs w:val="22"/>
        </w:rPr>
        <w:t xml:space="preserve">after receiving cell switch command, </w:t>
      </w:r>
      <w:r w:rsidRPr="003B4452">
        <w:rPr>
          <w:sz w:val="22"/>
          <w:szCs w:val="22"/>
        </w:rPr>
        <w:t xml:space="preserve">UE uses the </w:t>
      </w:r>
      <w:r w:rsidR="00686DD1" w:rsidRPr="003B4452">
        <w:rPr>
          <w:sz w:val="22"/>
          <w:szCs w:val="22"/>
        </w:rPr>
        <w:t xml:space="preserve">LTM </w:t>
      </w:r>
      <w:r w:rsidRPr="003B4452">
        <w:rPr>
          <w:sz w:val="22"/>
          <w:szCs w:val="22"/>
        </w:rPr>
        <w:t>TCI state provided in the cell switch command until a TCI state in the target cell is indicated</w:t>
      </w:r>
      <w:r w:rsidR="00274246" w:rsidRPr="003B4452">
        <w:rPr>
          <w:sz w:val="22"/>
          <w:szCs w:val="22"/>
        </w:rPr>
        <w:t xml:space="preserve"> </w:t>
      </w:r>
      <w:r w:rsidR="00F51F79" w:rsidRPr="003B4452">
        <w:rPr>
          <w:sz w:val="22"/>
          <w:szCs w:val="22"/>
        </w:rPr>
        <w:t xml:space="preserve">based on legacy </w:t>
      </w:r>
      <w:r w:rsidR="00C436FE" w:rsidRPr="003B4452">
        <w:rPr>
          <w:sz w:val="22"/>
          <w:szCs w:val="22"/>
        </w:rPr>
        <w:t>beam management</w:t>
      </w:r>
      <w:bookmarkEnd w:id="2"/>
      <w:r w:rsidR="006B55CF">
        <w:rPr>
          <w:sz w:val="22"/>
          <w:szCs w:val="22"/>
        </w:rPr>
        <w:t>.</w:t>
      </w:r>
    </w:p>
    <w:p w14:paraId="565E0C6E" w14:textId="77777777" w:rsidR="00551164" w:rsidRPr="003B4452" w:rsidRDefault="00551164" w:rsidP="004C740E">
      <w:pPr>
        <w:jc w:val="both"/>
        <w:rPr>
          <w:sz w:val="22"/>
          <w:szCs w:val="22"/>
        </w:rPr>
      </w:pPr>
    </w:p>
    <w:p w14:paraId="7AB97D62" w14:textId="3AC8E268" w:rsidR="00C436FE" w:rsidRPr="003B4452" w:rsidRDefault="00C436FE" w:rsidP="004C740E">
      <w:pPr>
        <w:jc w:val="both"/>
        <w:rPr>
          <w:sz w:val="22"/>
          <w:szCs w:val="22"/>
        </w:rPr>
      </w:pPr>
    </w:p>
    <w:p w14:paraId="37BCCD64" w14:textId="3DEAEC4F" w:rsidR="00110D16" w:rsidRPr="003B4452" w:rsidRDefault="004751A2" w:rsidP="004C740E">
      <w:pPr>
        <w:jc w:val="both"/>
        <w:rPr>
          <w:sz w:val="22"/>
          <w:szCs w:val="22"/>
        </w:rPr>
      </w:pPr>
      <w:r w:rsidRPr="003B4452">
        <w:rPr>
          <w:sz w:val="22"/>
          <w:szCs w:val="22"/>
        </w:rPr>
        <w:t>A</w:t>
      </w:r>
      <w:r w:rsidR="00F53B48" w:rsidRPr="003B4452">
        <w:rPr>
          <w:sz w:val="22"/>
          <w:szCs w:val="22"/>
        </w:rPr>
        <w:t>nother</w:t>
      </w:r>
      <w:r w:rsidR="00B20E38" w:rsidRPr="003B4452">
        <w:rPr>
          <w:sz w:val="22"/>
          <w:szCs w:val="22"/>
        </w:rPr>
        <w:t xml:space="preserve"> related open issue is how UE manage</w:t>
      </w:r>
      <w:r w:rsidR="00751E60">
        <w:rPr>
          <w:sz w:val="22"/>
          <w:szCs w:val="22"/>
        </w:rPr>
        <w:t>s</w:t>
      </w:r>
      <w:r w:rsidR="00B20E38" w:rsidRPr="003B4452">
        <w:rPr>
          <w:sz w:val="22"/>
          <w:szCs w:val="22"/>
        </w:rPr>
        <w:t xml:space="preserve"> source cell TCI state list and target cell TCI state list after cell switch.</w:t>
      </w:r>
      <w:r w:rsidR="005548F7" w:rsidRPr="003B4452">
        <w:rPr>
          <w:sz w:val="22"/>
          <w:szCs w:val="22"/>
        </w:rPr>
        <w:t xml:space="preserve"> In RAN1 #114 meeting, </w:t>
      </w:r>
      <w:r w:rsidR="001469F9" w:rsidRPr="003B4452">
        <w:rPr>
          <w:sz w:val="22"/>
          <w:szCs w:val="22"/>
        </w:rPr>
        <w:t>RAN1 had following discussion:</w:t>
      </w:r>
    </w:p>
    <w:tbl>
      <w:tblPr>
        <w:tblStyle w:val="TableGrid"/>
        <w:tblW w:w="0" w:type="auto"/>
        <w:tblLook w:val="04A0" w:firstRow="1" w:lastRow="0" w:firstColumn="1" w:lastColumn="0" w:noHBand="0" w:noVBand="1"/>
      </w:tblPr>
      <w:tblGrid>
        <w:gridCol w:w="10188"/>
      </w:tblGrid>
      <w:tr w:rsidR="001469F9" w:rsidRPr="003B4452" w14:paraId="6081E848" w14:textId="77777777" w:rsidTr="001469F9">
        <w:tc>
          <w:tcPr>
            <w:tcW w:w="10188" w:type="dxa"/>
          </w:tcPr>
          <w:p w14:paraId="72B8FD60" w14:textId="77777777" w:rsidR="001469F9" w:rsidRPr="003B4452" w:rsidRDefault="001469F9" w:rsidP="001469F9">
            <w:pPr>
              <w:pStyle w:val="ListParagraph"/>
              <w:numPr>
                <w:ilvl w:val="0"/>
                <w:numId w:val="25"/>
              </w:numPr>
              <w:snapToGrid w:val="0"/>
              <w:spacing w:after="100" w:afterAutospacing="1"/>
              <w:contextualSpacing w:val="0"/>
              <w:jc w:val="both"/>
              <w:rPr>
                <w:b/>
                <w:bCs/>
                <w:sz w:val="22"/>
                <w:szCs w:val="22"/>
              </w:rPr>
            </w:pPr>
            <w:r w:rsidRPr="003B4452">
              <w:rPr>
                <w:sz w:val="22"/>
                <w:szCs w:val="22"/>
              </w:rPr>
              <w:lastRenderedPageBreak/>
              <w:t xml:space="preserve">For UE assumption on the active TCI states for LTM other than the indicated TCI state after the reception of the cell switch command, chose one from the following options: </w:t>
            </w:r>
          </w:p>
          <w:p w14:paraId="3DDD494E" w14:textId="77777777" w:rsidR="001469F9" w:rsidRPr="003B4452" w:rsidRDefault="001469F9" w:rsidP="001469F9">
            <w:pPr>
              <w:pStyle w:val="ListParagraph"/>
              <w:numPr>
                <w:ilvl w:val="1"/>
                <w:numId w:val="25"/>
              </w:numPr>
              <w:snapToGrid w:val="0"/>
              <w:spacing w:after="100" w:afterAutospacing="1"/>
              <w:contextualSpacing w:val="0"/>
              <w:jc w:val="both"/>
              <w:rPr>
                <w:sz w:val="22"/>
                <w:szCs w:val="22"/>
              </w:rPr>
            </w:pPr>
            <w:r w:rsidRPr="003B4452">
              <w:rPr>
                <w:sz w:val="22"/>
                <w:szCs w:val="22"/>
              </w:rPr>
              <w:t>Option 1. Retain all activate TCI states</w:t>
            </w:r>
          </w:p>
          <w:p w14:paraId="00847E5E" w14:textId="0514A796" w:rsidR="001469F9" w:rsidRPr="003B4452" w:rsidRDefault="001469F9" w:rsidP="001469F9">
            <w:pPr>
              <w:pStyle w:val="ListParagraph"/>
              <w:numPr>
                <w:ilvl w:val="1"/>
                <w:numId w:val="25"/>
              </w:numPr>
              <w:snapToGrid w:val="0"/>
              <w:spacing w:after="100" w:afterAutospacing="1"/>
              <w:contextualSpacing w:val="0"/>
              <w:jc w:val="both"/>
              <w:rPr>
                <w:sz w:val="22"/>
                <w:szCs w:val="22"/>
              </w:rPr>
            </w:pPr>
            <w:r w:rsidRPr="003B4452">
              <w:rPr>
                <w:sz w:val="22"/>
                <w:szCs w:val="22"/>
              </w:rPr>
              <w:t xml:space="preserve">Option 2. Deactivate all TCI states </w:t>
            </w:r>
          </w:p>
          <w:p w14:paraId="6B596B9A" w14:textId="046DD035" w:rsidR="001469F9" w:rsidRPr="003B4452" w:rsidRDefault="001469F9" w:rsidP="00583C55">
            <w:pPr>
              <w:pStyle w:val="ListParagraph"/>
              <w:numPr>
                <w:ilvl w:val="1"/>
                <w:numId w:val="25"/>
              </w:numPr>
              <w:snapToGrid w:val="0"/>
              <w:spacing w:after="100" w:afterAutospacing="1"/>
              <w:contextualSpacing w:val="0"/>
              <w:jc w:val="both"/>
              <w:rPr>
                <w:sz w:val="22"/>
                <w:szCs w:val="22"/>
              </w:rPr>
            </w:pPr>
            <w:r w:rsidRPr="003B4452">
              <w:rPr>
                <w:sz w:val="22"/>
                <w:szCs w:val="22"/>
              </w:rPr>
              <w:t xml:space="preserve">Option 5. Do not specify any behaviour, i.e. new serving cell need to perform TCI state activation as a target cell (i.e. a new serving cell) has no information about the activated TCI state at a UE other than the indicated TCI state(s)  </w:t>
            </w:r>
          </w:p>
        </w:tc>
      </w:tr>
    </w:tbl>
    <w:p w14:paraId="56F886F9" w14:textId="77777777" w:rsidR="001469F9" w:rsidRPr="003B4452" w:rsidRDefault="001469F9" w:rsidP="00E239E3">
      <w:pPr>
        <w:rPr>
          <w:sz w:val="22"/>
          <w:szCs w:val="22"/>
        </w:rPr>
      </w:pPr>
    </w:p>
    <w:p w14:paraId="58F545EB" w14:textId="4DC4F20B" w:rsidR="00E066D8" w:rsidRPr="003B4452" w:rsidRDefault="00E066D8" w:rsidP="00E239E3">
      <w:pPr>
        <w:rPr>
          <w:sz w:val="22"/>
          <w:szCs w:val="22"/>
        </w:rPr>
      </w:pPr>
    </w:p>
    <w:p w14:paraId="2A81A4F8" w14:textId="09122091" w:rsidR="00287769" w:rsidRPr="003B4452" w:rsidRDefault="00DB7010" w:rsidP="004C740E">
      <w:pPr>
        <w:jc w:val="both"/>
        <w:rPr>
          <w:sz w:val="22"/>
          <w:szCs w:val="22"/>
        </w:rPr>
      </w:pPr>
      <w:r w:rsidRPr="003B4452">
        <w:rPr>
          <w:sz w:val="22"/>
          <w:szCs w:val="22"/>
        </w:rPr>
        <w:t xml:space="preserve">Option 1 is similar to legacy beam management when UE performing beam switch without BWP change and several companies would like to follow similar UE behavior for Rel-18 LTM. However, Rel-18 LTM is targeting mobility </w:t>
      </w:r>
      <w:r w:rsidR="00773924" w:rsidRPr="003B4452">
        <w:rPr>
          <w:sz w:val="22"/>
          <w:szCs w:val="22"/>
        </w:rPr>
        <w:t>scenarios</w:t>
      </w:r>
      <w:r w:rsidRPr="003B4452">
        <w:rPr>
          <w:sz w:val="22"/>
          <w:szCs w:val="22"/>
        </w:rPr>
        <w:t xml:space="preserve"> and BWP change after cell switch is</w:t>
      </w:r>
      <w:r w:rsidR="00DF70E5" w:rsidRPr="003B4452">
        <w:rPr>
          <w:rFonts w:hint="eastAsia"/>
          <w:sz w:val="22"/>
          <w:szCs w:val="22"/>
        </w:rPr>
        <w:t xml:space="preserve"> </w:t>
      </w:r>
      <w:r w:rsidR="00DF70E5" w:rsidRPr="003B4452">
        <w:rPr>
          <w:sz w:val="22"/>
          <w:szCs w:val="22"/>
        </w:rPr>
        <w:t xml:space="preserve">inevitable. Therefore, </w:t>
      </w:r>
      <w:r w:rsidR="00082463" w:rsidRPr="003B4452">
        <w:rPr>
          <w:sz w:val="22"/>
          <w:szCs w:val="22"/>
        </w:rPr>
        <w:t xml:space="preserve">whether  to </w:t>
      </w:r>
      <w:r w:rsidR="00DF70E5" w:rsidRPr="003B4452">
        <w:rPr>
          <w:sz w:val="22"/>
          <w:szCs w:val="22"/>
        </w:rPr>
        <w:t xml:space="preserve">retaining all activate TCI states </w:t>
      </w:r>
      <w:r w:rsidR="008074BA" w:rsidRPr="003B4452">
        <w:rPr>
          <w:sz w:val="22"/>
          <w:szCs w:val="22"/>
        </w:rPr>
        <w:t>from</w:t>
      </w:r>
      <w:r w:rsidR="00DF70E5" w:rsidRPr="003B4452">
        <w:rPr>
          <w:sz w:val="22"/>
          <w:szCs w:val="22"/>
        </w:rPr>
        <w:t xml:space="preserve"> previous BWP </w:t>
      </w:r>
      <w:r w:rsidR="00082463" w:rsidRPr="003B4452">
        <w:rPr>
          <w:sz w:val="22"/>
          <w:szCs w:val="22"/>
        </w:rPr>
        <w:t>should be carefully investigated</w:t>
      </w:r>
      <w:r w:rsidR="00DF70E5" w:rsidRPr="003B4452">
        <w:rPr>
          <w:sz w:val="22"/>
          <w:szCs w:val="22"/>
        </w:rPr>
        <w:t xml:space="preserve">. </w:t>
      </w:r>
      <w:r w:rsidR="00082463" w:rsidRPr="003B4452">
        <w:rPr>
          <w:sz w:val="22"/>
          <w:szCs w:val="22"/>
        </w:rPr>
        <w:t>On the other hand, Option 2 is similar to initial access where only one beam is used for DL reception</w:t>
      </w:r>
      <w:r w:rsidR="0033369A" w:rsidRPr="003B4452">
        <w:rPr>
          <w:sz w:val="22"/>
          <w:szCs w:val="22"/>
        </w:rPr>
        <w:t xml:space="preserve"> after handover</w:t>
      </w:r>
      <w:r w:rsidR="00082463" w:rsidRPr="003B4452">
        <w:rPr>
          <w:sz w:val="22"/>
          <w:szCs w:val="22"/>
        </w:rPr>
        <w:t xml:space="preserve">. </w:t>
      </w:r>
      <w:r w:rsidR="00DF70E5" w:rsidRPr="003B4452">
        <w:rPr>
          <w:sz w:val="22"/>
          <w:szCs w:val="22"/>
        </w:rPr>
        <w:t xml:space="preserve">To minimize the specification impact and UE implementation complexity, </w:t>
      </w:r>
      <w:r w:rsidR="00082463" w:rsidRPr="003B4452">
        <w:rPr>
          <w:sz w:val="22"/>
          <w:szCs w:val="22"/>
        </w:rPr>
        <w:t xml:space="preserve">we suggest to </w:t>
      </w:r>
      <w:r w:rsidR="00DF70E5" w:rsidRPr="003B4452">
        <w:rPr>
          <w:sz w:val="22"/>
          <w:szCs w:val="22"/>
        </w:rPr>
        <w:t xml:space="preserve">at least </w:t>
      </w:r>
      <w:r w:rsidR="00082463" w:rsidRPr="003B4452">
        <w:rPr>
          <w:sz w:val="22"/>
          <w:szCs w:val="22"/>
        </w:rPr>
        <w:t xml:space="preserve">support </w:t>
      </w:r>
      <w:r w:rsidR="00DF70E5" w:rsidRPr="003B4452">
        <w:rPr>
          <w:sz w:val="22"/>
          <w:szCs w:val="22"/>
        </w:rPr>
        <w:t>Option 2.</w:t>
      </w:r>
    </w:p>
    <w:p w14:paraId="02AF76D8" w14:textId="7096D2DB" w:rsidR="001E1209" w:rsidRPr="003B4452" w:rsidRDefault="001E1209" w:rsidP="004C740E">
      <w:pPr>
        <w:jc w:val="both"/>
        <w:rPr>
          <w:sz w:val="22"/>
          <w:szCs w:val="22"/>
        </w:rPr>
      </w:pPr>
    </w:p>
    <w:p w14:paraId="4C098106" w14:textId="762EBAD0" w:rsidR="001E1209" w:rsidRPr="003B4452" w:rsidRDefault="001E1209" w:rsidP="004C740E">
      <w:pPr>
        <w:jc w:val="both"/>
        <w:rPr>
          <w:sz w:val="22"/>
          <w:szCs w:val="22"/>
        </w:rPr>
      </w:pPr>
    </w:p>
    <w:p w14:paraId="3935D3DA" w14:textId="32AA4389" w:rsidR="00ED573F" w:rsidRPr="003B4452" w:rsidRDefault="00ED573F" w:rsidP="004C740E">
      <w:pPr>
        <w:pStyle w:val="Caption"/>
        <w:jc w:val="both"/>
        <w:rPr>
          <w:b w:val="0"/>
          <w:bCs w:val="0"/>
          <w:sz w:val="22"/>
          <w:szCs w:val="22"/>
        </w:rPr>
      </w:pPr>
      <w:bookmarkStart w:id="3" w:name="_Ref134795818"/>
      <w:bookmarkStart w:id="4" w:name="_Ref127308601"/>
      <w:r w:rsidRPr="003B4452">
        <w:rPr>
          <w:sz w:val="22"/>
          <w:szCs w:val="22"/>
        </w:rPr>
        <w:t xml:space="preserve">Proposal </w:t>
      </w:r>
      <w:r w:rsidR="008D3C81" w:rsidRPr="003B4452">
        <w:rPr>
          <w:sz w:val="22"/>
          <w:szCs w:val="22"/>
        </w:rPr>
        <w:t>2</w:t>
      </w:r>
      <w:r w:rsidRPr="003B4452">
        <w:rPr>
          <w:sz w:val="22"/>
          <w:szCs w:val="22"/>
        </w:rPr>
        <w:t xml:space="preserve">: For Rel-18 L1/L2 mobility, </w:t>
      </w:r>
      <w:r w:rsidR="00DF70E5" w:rsidRPr="003B4452">
        <w:rPr>
          <w:sz w:val="22"/>
          <w:szCs w:val="22"/>
        </w:rPr>
        <w:t xml:space="preserve">UE deactivates all active </w:t>
      </w:r>
      <w:r w:rsidR="001F094B" w:rsidRPr="003B4452">
        <w:rPr>
          <w:sz w:val="22"/>
          <w:szCs w:val="22"/>
        </w:rPr>
        <w:t xml:space="preserve">LTM </w:t>
      </w:r>
      <w:r w:rsidR="00DF70E5" w:rsidRPr="003B4452">
        <w:rPr>
          <w:sz w:val="22"/>
          <w:szCs w:val="22"/>
        </w:rPr>
        <w:t xml:space="preserve">TCI states other than the indicated TCI state </w:t>
      </w:r>
      <w:r w:rsidR="00FF0E19" w:rsidRPr="003B4452">
        <w:rPr>
          <w:sz w:val="22"/>
          <w:szCs w:val="22"/>
        </w:rPr>
        <w:t xml:space="preserve">in a cell switch command </w:t>
      </w:r>
      <w:r w:rsidR="00DF70E5" w:rsidRPr="003B4452">
        <w:rPr>
          <w:sz w:val="22"/>
          <w:szCs w:val="22"/>
        </w:rPr>
        <w:t>after the reception of the cell switch command</w:t>
      </w:r>
      <w:r w:rsidR="00C57D84" w:rsidRPr="003B4452">
        <w:rPr>
          <w:sz w:val="22"/>
          <w:szCs w:val="22"/>
        </w:rPr>
        <w:t>.</w:t>
      </w:r>
      <w:bookmarkEnd w:id="3"/>
      <w:r w:rsidR="00A535B2" w:rsidRPr="003B4452">
        <w:rPr>
          <w:sz w:val="22"/>
          <w:szCs w:val="22"/>
        </w:rPr>
        <w:t xml:space="preserve"> </w:t>
      </w:r>
      <w:bookmarkEnd w:id="4"/>
    </w:p>
    <w:p w14:paraId="661249BC" w14:textId="77777777" w:rsidR="004C740E" w:rsidRPr="004C740E" w:rsidRDefault="004C740E" w:rsidP="004C740E">
      <w:pPr>
        <w:rPr>
          <w:b/>
          <w:bCs/>
        </w:rPr>
      </w:pPr>
    </w:p>
    <w:p w14:paraId="1AA3D773" w14:textId="7311D62D" w:rsidR="007E3446" w:rsidRDefault="001F094B" w:rsidP="00926617">
      <w:pPr>
        <w:pStyle w:val="ListParagraph"/>
        <w:numPr>
          <w:ilvl w:val="0"/>
          <w:numId w:val="5"/>
        </w:numPr>
        <w:spacing w:beforeLines="50" w:before="120" w:afterLines="50" w:after="120"/>
        <w:contextualSpacing w:val="0"/>
        <w:outlineLvl w:val="0"/>
        <w:rPr>
          <w:b/>
          <w:sz w:val="28"/>
        </w:rPr>
      </w:pPr>
      <w:r>
        <w:rPr>
          <w:b/>
          <w:sz w:val="28"/>
        </w:rPr>
        <w:t xml:space="preserve">Other </w:t>
      </w:r>
      <w:r w:rsidR="007E3446" w:rsidRPr="007E3446">
        <w:rPr>
          <w:b/>
          <w:sz w:val="28"/>
        </w:rPr>
        <w:t>RAN1 discussion</w:t>
      </w:r>
    </w:p>
    <w:p w14:paraId="7725B77E" w14:textId="77777777" w:rsidR="00926617" w:rsidRDefault="00926617" w:rsidP="00926617"/>
    <w:p w14:paraId="436C2871" w14:textId="068A3B8E" w:rsidR="00926617" w:rsidRDefault="00D640A0" w:rsidP="00926617">
      <w:pPr>
        <w:rPr>
          <w:u w:val="single"/>
        </w:rPr>
      </w:pPr>
      <w:r w:rsidRPr="00561DA8">
        <w:rPr>
          <w:u w:val="single"/>
        </w:rPr>
        <w:t>L1 measurement enhancement</w:t>
      </w:r>
    </w:p>
    <w:p w14:paraId="001B6F9C" w14:textId="37956FEA" w:rsidR="00D640A0" w:rsidRDefault="00D640A0" w:rsidP="00926617">
      <w:pPr>
        <w:rPr>
          <w:u w:val="single"/>
        </w:rPr>
      </w:pPr>
    </w:p>
    <w:p w14:paraId="692CE241" w14:textId="5C3674DA" w:rsidR="00B60771" w:rsidRPr="003B4452" w:rsidRDefault="00CB5072" w:rsidP="00926617">
      <w:pPr>
        <w:rPr>
          <w:sz w:val="22"/>
          <w:szCs w:val="22"/>
        </w:rPr>
      </w:pPr>
      <w:r w:rsidRPr="003B4452">
        <w:rPr>
          <w:sz w:val="22"/>
          <w:szCs w:val="22"/>
        </w:rPr>
        <w:t>S</w:t>
      </w:r>
      <w:r w:rsidR="008F2FB7" w:rsidRPr="003B4452">
        <w:rPr>
          <w:sz w:val="22"/>
          <w:szCs w:val="22"/>
        </w:rPr>
        <w:t xml:space="preserve">everal companies showed the support of reporting L1-SINR in addition to L1-RSRP. However, to the best of our understanding, no analytical or simulation result has been shown to support the benefit of reporting L1-SINR. In our view, an instance of L1-SINR might not reflect the actual interference in the candidate cells </w:t>
      </w:r>
      <w:r w:rsidR="0004159C" w:rsidRPr="003B4452">
        <w:rPr>
          <w:sz w:val="22"/>
          <w:szCs w:val="22"/>
        </w:rPr>
        <w:t xml:space="preserve">and L3-SINR might draw a more complete picture of interference. </w:t>
      </w:r>
      <w:r w:rsidR="00B60771" w:rsidRPr="003B4452">
        <w:rPr>
          <w:sz w:val="22"/>
          <w:szCs w:val="22"/>
        </w:rPr>
        <w:t>Without further justification, we suggest not to introduce L1-SINR as reporting quantity for L1 measurement</w:t>
      </w:r>
      <w:r w:rsidR="00544119" w:rsidRPr="003B4452">
        <w:rPr>
          <w:sz w:val="22"/>
          <w:szCs w:val="22"/>
        </w:rPr>
        <w:t xml:space="preserve"> in the maintenance phase</w:t>
      </w:r>
      <w:r w:rsidR="00CC3BE4" w:rsidRPr="003B4452">
        <w:rPr>
          <w:sz w:val="22"/>
          <w:szCs w:val="22"/>
        </w:rPr>
        <w:t xml:space="preserve"> with a clear decision</w:t>
      </w:r>
      <w:r w:rsidR="00B60771" w:rsidRPr="003B4452">
        <w:rPr>
          <w:sz w:val="22"/>
          <w:szCs w:val="22"/>
        </w:rPr>
        <w:t>.</w:t>
      </w:r>
    </w:p>
    <w:p w14:paraId="2560D7F3" w14:textId="77777777" w:rsidR="00B60771" w:rsidRPr="003B4452" w:rsidRDefault="00B60771" w:rsidP="00926617">
      <w:pPr>
        <w:rPr>
          <w:sz w:val="22"/>
          <w:szCs w:val="22"/>
        </w:rPr>
      </w:pPr>
    </w:p>
    <w:p w14:paraId="3915293B" w14:textId="624330AE" w:rsidR="00B60771" w:rsidRPr="003B4452" w:rsidRDefault="008F2FB7" w:rsidP="00B60771">
      <w:pPr>
        <w:pStyle w:val="Caption"/>
        <w:rPr>
          <w:sz w:val="22"/>
          <w:szCs w:val="22"/>
        </w:rPr>
      </w:pPr>
      <w:r w:rsidRPr="003B4452">
        <w:rPr>
          <w:sz w:val="22"/>
          <w:szCs w:val="22"/>
        </w:rPr>
        <w:t xml:space="preserve"> </w:t>
      </w:r>
      <w:bookmarkStart w:id="5" w:name="_Ref127308614"/>
      <w:r w:rsidR="00B60771" w:rsidRPr="003B4452">
        <w:rPr>
          <w:sz w:val="22"/>
          <w:szCs w:val="22"/>
        </w:rPr>
        <w:t xml:space="preserve">Proposal </w:t>
      </w:r>
      <w:r w:rsidR="008D3C81" w:rsidRPr="003B4452">
        <w:rPr>
          <w:sz w:val="22"/>
          <w:szCs w:val="22"/>
        </w:rPr>
        <w:t>3</w:t>
      </w:r>
      <w:r w:rsidR="00B60771" w:rsidRPr="003B4452">
        <w:rPr>
          <w:sz w:val="22"/>
          <w:szCs w:val="22"/>
        </w:rPr>
        <w:t>: For Rel-18 L1/L2 mobility, L1-SINR is not supported for intra and inter-frequency candidate cell measurement.</w:t>
      </w:r>
      <w:bookmarkEnd w:id="5"/>
    </w:p>
    <w:p w14:paraId="09F788A3" w14:textId="4F4B3F47" w:rsidR="00581AB4" w:rsidRPr="003B4452" w:rsidRDefault="00581AB4" w:rsidP="00926617">
      <w:pPr>
        <w:rPr>
          <w:sz w:val="22"/>
          <w:szCs w:val="22"/>
        </w:rPr>
      </w:pPr>
    </w:p>
    <w:p w14:paraId="7AE20872" w14:textId="77777777" w:rsidR="008F2FB7" w:rsidRPr="003B4452" w:rsidRDefault="008F2FB7" w:rsidP="00926617">
      <w:pPr>
        <w:rPr>
          <w:sz w:val="22"/>
          <w:szCs w:val="22"/>
        </w:rPr>
      </w:pPr>
    </w:p>
    <w:p w14:paraId="7B609860" w14:textId="4E9CE7CD" w:rsidR="00D640A0" w:rsidRDefault="00D640A0" w:rsidP="00926617">
      <w:pPr>
        <w:rPr>
          <w:u w:val="single"/>
        </w:rPr>
      </w:pPr>
      <w:r w:rsidRPr="00561DA8">
        <w:rPr>
          <w:u w:val="single"/>
        </w:rPr>
        <w:t>Beam management enhancement</w:t>
      </w:r>
    </w:p>
    <w:p w14:paraId="74757FB5" w14:textId="5AB13398" w:rsidR="00794A6A" w:rsidRDefault="00794A6A" w:rsidP="00926617">
      <w:pPr>
        <w:rPr>
          <w:u w:val="single"/>
        </w:rPr>
      </w:pPr>
    </w:p>
    <w:p w14:paraId="5B153D56" w14:textId="6C625D76" w:rsidR="00794A6A" w:rsidRPr="003B4452" w:rsidRDefault="009B441A" w:rsidP="00926617">
      <w:pPr>
        <w:rPr>
          <w:sz w:val="22"/>
          <w:szCs w:val="22"/>
        </w:rPr>
      </w:pPr>
      <w:r w:rsidRPr="003B4452">
        <w:rPr>
          <w:sz w:val="22"/>
          <w:szCs w:val="22"/>
        </w:rPr>
        <w:t xml:space="preserve">In RAN1 #111 meeting, it has been agreed that the beam indication together with cell switch command is supported and other beam indication timing, i.e., before and after cell switch command, will be further discussed. </w:t>
      </w:r>
      <w:r w:rsidR="00C92391" w:rsidRPr="003B4452">
        <w:rPr>
          <w:sz w:val="22"/>
          <w:szCs w:val="22"/>
        </w:rPr>
        <w:t>In our view, separate cell switching procedure into two stages can complicate the design especially when considering at least one of them is failed. For example, UE behavior when only receiving cell switch command without the beam indication signaling should be carefully designed. In addition to the procedure design complication, the actual benefit of two stage cell switching procedure is not clear. One potential benefit of having beam indication before cell switch command is to receive DL from candidate cell as Rel-17 ICBM. However, such benefit might not be feasible when the candidate cell is in inter-frequency.</w:t>
      </w:r>
      <w:r w:rsidR="00DC0887" w:rsidRPr="003B4452">
        <w:rPr>
          <w:sz w:val="22"/>
          <w:szCs w:val="22"/>
        </w:rPr>
        <w:t xml:space="preserve"> Furthermore, simultaneous operation of Rel-17 ICBM and Rel-18 LTM feature seem to be optimization and the discussion can be deprioritized</w:t>
      </w:r>
      <w:r w:rsidR="002866E8" w:rsidRPr="003B4452">
        <w:rPr>
          <w:sz w:val="22"/>
          <w:szCs w:val="22"/>
        </w:rPr>
        <w:t xml:space="preserve">. </w:t>
      </w:r>
    </w:p>
    <w:p w14:paraId="3E7AD530" w14:textId="09515D25" w:rsidR="002866E8" w:rsidRPr="003B4452" w:rsidRDefault="002866E8" w:rsidP="00926617">
      <w:pPr>
        <w:rPr>
          <w:sz w:val="22"/>
          <w:szCs w:val="22"/>
        </w:rPr>
      </w:pPr>
    </w:p>
    <w:p w14:paraId="0B9D5E08" w14:textId="52045CB6" w:rsidR="002866E8" w:rsidRPr="003B4452" w:rsidRDefault="002866E8" w:rsidP="002866E8">
      <w:pPr>
        <w:pStyle w:val="Caption"/>
        <w:rPr>
          <w:sz w:val="22"/>
          <w:szCs w:val="22"/>
        </w:rPr>
      </w:pPr>
      <w:bookmarkStart w:id="6" w:name="_Ref127308624"/>
      <w:r w:rsidRPr="003B4452">
        <w:rPr>
          <w:sz w:val="22"/>
          <w:szCs w:val="22"/>
        </w:rPr>
        <w:t xml:space="preserve">Proposal </w:t>
      </w:r>
      <w:r w:rsidR="008D3C81" w:rsidRPr="003B4452">
        <w:rPr>
          <w:sz w:val="22"/>
          <w:szCs w:val="22"/>
        </w:rPr>
        <w:t>4</w:t>
      </w:r>
      <w:r w:rsidRPr="003B4452">
        <w:rPr>
          <w:sz w:val="22"/>
          <w:szCs w:val="22"/>
        </w:rPr>
        <w:t xml:space="preserve">: For Rel-18 L1/L2 mobility, Scenario </w:t>
      </w:r>
      <w:r w:rsidR="005066EB" w:rsidRPr="003B4452">
        <w:rPr>
          <w:sz w:val="22"/>
          <w:szCs w:val="22"/>
        </w:rPr>
        <w:t xml:space="preserve">1 </w:t>
      </w:r>
      <w:r w:rsidRPr="003B4452">
        <w:rPr>
          <w:sz w:val="22"/>
          <w:szCs w:val="22"/>
        </w:rPr>
        <w:t xml:space="preserve">(beam indication </w:t>
      </w:r>
      <w:r w:rsidR="005066EB" w:rsidRPr="003B4452">
        <w:rPr>
          <w:sz w:val="22"/>
          <w:szCs w:val="22"/>
        </w:rPr>
        <w:t xml:space="preserve">before </w:t>
      </w:r>
      <w:r w:rsidRPr="003B4452">
        <w:rPr>
          <w:sz w:val="22"/>
          <w:szCs w:val="22"/>
        </w:rPr>
        <w:t xml:space="preserve">cell switch command) </w:t>
      </w:r>
      <w:r w:rsidR="004C6DC5" w:rsidRPr="003B4452">
        <w:rPr>
          <w:sz w:val="22"/>
          <w:szCs w:val="22"/>
        </w:rPr>
        <w:t xml:space="preserve">is </w:t>
      </w:r>
      <w:r w:rsidRPr="003B4452">
        <w:rPr>
          <w:sz w:val="22"/>
          <w:szCs w:val="22"/>
        </w:rPr>
        <w:t>not supported.</w:t>
      </w:r>
      <w:bookmarkEnd w:id="6"/>
    </w:p>
    <w:p w14:paraId="24BAEA6E" w14:textId="31C0358F" w:rsidR="00A415E1" w:rsidRPr="003B4452" w:rsidRDefault="00A415E1" w:rsidP="00A415E1">
      <w:pPr>
        <w:rPr>
          <w:sz w:val="22"/>
          <w:szCs w:val="22"/>
        </w:rPr>
      </w:pPr>
    </w:p>
    <w:p w14:paraId="539400FE" w14:textId="16F6DDB4" w:rsidR="00F90491" w:rsidRPr="003B4452" w:rsidRDefault="00F90491" w:rsidP="00A415E1">
      <w:pPr>
        <w:rPr>
          <w:sz w:val="22"/>
          <w:szCs w:val="22"/>
        </w:rPr>
      </w:pPr>
    </w:p>
    <w:p w14:paraId="17A3FD49" w14:textId="55F45F6A" w:rsidR="00F90491" w:rsidRPr="003B4452" w:rsidRDefault="00F90491" w:rsidP="00A415E1">
      <w:pPr>
        <w:rPr>
          <w:sz w:val="22"/>
          <w:szCs w:val="22"/>
        </w:rPr>
      </w:pPr>
      <w:r w:rsidRPr="003B4452">
        <w:rPr>
          <w:sz w:val="22"/>
          <w:szCs w:val="22"/>
        </w:rPr>
        <w:lastRenderedPageBreak/>
        <w:t xml:space="preserve">Another open issue for the TCI state activation and beam indication of candidate cell is the QCL resource associated with the TCI state. Based on current spec, the TCI state used for reception of PDCCH and PDSCH should be QCL type-A with TRS. However, during initial cell search phase, the following </w:t>
      </w:r>
      <w:r w:rsidR="00BD56D7" w:rsidRPr="003B4452">
        <w:rPr>
          <w:sz w:val="22"/>
          <w:szCs w:val="22"/>
        </w:rPr>
        <w:t xml:space="preserve">UE </w:t>
      </w:r>
      <w:r w:rsidRPr="003B4452">
        <w:rPr>
          <w:sz w:val="22"/>
          <w:szCs w:val="22"/>
        </w:rPr>
        <w:t>behavior</w:t>
      </w:r>
      <w:r w:rsidR="00BD56D7" w:rsidRPr="003B4452">
        <w:rPr>
          <w:sz w:val="22"/>
          <w:szCs w:val="22"/>
        </w:rPr>
        <w:t xml:space="preserve"> using SSB as QCL source</w:t>
      </w:r>
      <w:r w:rsidRPr="003B4452">
        <w:rPr>
          <w:sz w:val="22"/>
          <w:szCs w:val="22"/>
        </w:rPr>
        <w:t xml:space="preserve"> is specified for PDCCH monitoring and MIB reception.</w:t>
      </w:r>
    </w:p>
    <w:tbl>
      <w:tblPr>
        <w:tblStyle w:val="TableGrid"/>
        <w:tblW w:w="0" w:type="auto"/>
        <w:tblLook w:val="04A0" w:firstRow="1" w:lastRow="0" w:firstColumn="1" w:lastColumn="0" w:noHBand="0" w:noVBand="1"/>
      </w:tblPr>
      <w:tblGrid>
        <w:gridCol w:w="10188"/>
      </w:tblGrid>
      <w:tr w:rsidR="00F90491" w:rsidRPr="003B4452" w14:paraId="1E9EAC25" w14:textId="77777777" w:rsidTr="00F90491">
        <w:tc>
          <w:tcPr>
            <w:tcW w:w="10188" w:type="dxa"/>
          </w:tcPr>
          <w:p w14:paraId="404ACA51" w14:textId="37D369E2" w:rsidR="00F90491" w:rsidRPr="003B4452" w:rsidRDefault="00F90491" w:rsidP="00F90491">
            <w:pPr>
              <w:rPr>
                <w:sz w:val="22"/>
                <w:szCs w:val="22"/>
              </w:rPr>
            </w:pPr>
            <w:r w:rsidRPr="003B4452">
              <w:rPr>
                <w:sz w:val="22"/>
                <w:szCs w:val="22"/>
              </w:rPr>
              <w:t>TS 38.213 Clause 10.1</w:t>
            </w:r>
          </w:p>
          <w:p w14:paraId="4491D599" w14:textId="667D07C2" w:rsidR="00F90491" w:rsidRPr="003B4452" w:rsidRDefault="00F90491" w:rsidP="00F90491">
            <w:pPr>
              <w:rPr>
                <w:sz w:val="22"/>
                <w:szCs w:val="22"/>
              </w:rPr>
            </w:pPr>
            <w:r w:rsidRPr="003B4452">
              <w:rPr>
                <w:sz w:val="22"/>
                <w:szCs w:val="22"/>
              </w:rPr>
              <w:t>…</w:t>
            </w:r>
          </w:p>
          <w:p w14:paraId="6909A798" w14:textId="70C49310" w:rsidR="00F90491" w:rsidRPr="003B4452" w:rsidRDefault="00F90491" w:rsidP="00F90491">
            <w:pPr>
              <w:rPr>
                <w:sz w:val="22"/>
                <w:szCs w:val="22"/>
              </w:rPr>
            </w:pPr>
            <w:r w:rsidRPr="003B4452">
              <w:rPr>
                <w:b/>
                <w:bCs/>
                <w:sz w:val="22"/>
                <w:szCs w:val="22"/>
              </w:rPr>
              <w:t xml:space="preserve">The UE may assume that the DM-RS antenna port associated with PDCCH receptions in the CORESET configured by </w:t>
            </w:r>
            <w:r w:rsidRPr="003B4452">
              <w:rPr>
                <w:b/>
                <w:bCs/>
                <w:i/>
                <w:sz w:val="22"/>
                <w:szCs w:val="22"/>
              </w:rPr>
              <w:t>pdcch-ConfigSIB1</w:t>
            </w:r>
            <w:r w:rsidRPr="003B4452">
              <w:rPr>
                <w:b/>
                <w:bCs/>
                <w:sz w:val="22"/>
                <w:szCs w:val="22"/>
              </w:rPr>
              <w:t xml:space="preserve"> </w:t>
            </w:r>
            <w:r w:rsidRPr="003B4452">
              <w:rPr>
                <w:rFonts w:eastAsia="MS Mincho"/>
                <w:b/>
                <w:bCs/>
                <w:sz w:val="22"/>
                <w:szCs w:val="22"/>
              </w:rPr>
              <w:t xml:space="preserve">in </w:t>
            </w:r>
            <w:r w:rsidRPr="003B4452">
              <w:rPr>
                <w:b/>
                <w:bCs/>
                <w:i/>
                <w:sz w:val="22"/>
                <w:szCs w:val="22"/>
              </w:rPr>
              <w:t>MIB</w:t>
            </w:r>
            <w:r w:rsidRPr="003B4452">
              <w:rPr>
                <w:b/>
                <w:bCs/>
                <w:iCs/>
                <w:sz w:val="22"/>
                <w:szCs w:val="22"/>
              </w:rPr>
              <w:t>, the DM-RS antenna port associated with</w:t>
            </w:r>
            <w:r w:rsidRPr="003B4452">
              <w:rPr>
                <w:b/>
                <w:bCs/>
                <w:sz w:val="22"/>
                <w:szCs w:val="22"/>
              </w:rPr>
              <w:t xml:space="preserve"> corresponding PDSCH receptions, and the corresponding SS/PBCH block are quasi co-located with respect to average gain, quasi co-location 'typeA' and 'typeD' properties, when applicable</w:t>
            </w:r>
            <w:r w:rsidRPr="003B4452">
              <w:rPr>
                <w:b/>
                <w:bCs/>
                <w:kern w:val="2"/>
                <w:sz w:val="22"/>
                <w:szCs w:val="22"/>
              </w:rPr>
              <w:t xml:space="preserve"> [6, TS 38.214], if the UE is not provided a TCI state indicating </w:t>
            </w:r>
            <w:r w:rsidRPr="003B4452">
              <w:rPr>
                <w:b/>
                <w:bCs/>
                <w:sz w:val="22"/>
                <w:szCs w:val="22"/>
              </w:rPr>
              <w:t>quasi co-location information of the DM-RS antenna port for PDCCH reception in the CORESET</w:t>
            </w:r>
            <w:r w:rsidRPr="003B4452">
              <w:rPr>
                <w:sz w:val="22"/>
                <w:szCs w:val="22"/>
              </w:rPr>
              <w:t xml:space="preserve">. The value for the DM-RS scrambling sequence initialization is the cell ID. For operation without shared spectrum channel access in FR1 and FR2-1, a SCS is provided by </w:t>
            </w:r>
            <w:r w:rsidRPr="003B4452">
              <w:rPr>
                <w:i/>
                <w:sz w:val="22"/>
                <w:szCs w:val="22"/>
              </w:rPr>
              <w:t>subCarrierSpacingCommon</w:t>
            </w:r>
            <w:r w:rsidRPr="003B4452">
              <w:rPr>
                <w:sz w:val="22"/>
                <w:szCs w:val="22"/>
              </w:rPr>
              <w:t xml:space="preserve"> </w:t>
            </w:r>
            <w:r w:rsidRPr="003B4452">
              <w:rPr>
                <w:rFonts w:eastAsia="MS Mincho"/>
                <w:sz w:val="22"/>
                <w:szCs w:val="22"/>
              </w:rPr>
              <w:t xml:space="preserve">in </w:t>
            </w:r>
            <w:r w:rsidRPr="003B4452">
              <w:rPr>
                <w:i/>
                <w:sz w:val="22"/>
                <w:szCs w:val="22"/>
              </w:rPr>
              <w:t>MIB</w:t>
            </w:r>
            <w:r w:rsidRPr="003B4452">
              <w:rPr>
                <w:sz w:val="22"/>
                <w:szCs w:val="22"/>
              </w:rPr>
              <w:t>. For operation with shared spectrum channel access in FR1 and for operation in FR2-2, a SCS is same as the SCS of a corresponding SS/PBCH block.</w:t>
            </w:r>
          </w:p>
          <w:p w14:paraId="6B225188" w14:textId="77777777" w:rsidR="00F90491" w:rsidRPr="003B4452" w:rsidRDefault="00F90491" w:rsidP="00A415E1">
            <w:pPr>
              <w:rPr>
                <w:sz w:val="22"/>
                <w:szCs w:val="22"/>
              </w:rPr>
            </w:pPr>
          </w:p>
        </w:tc>
      </w:tr>
    </w:tbl>
    <w:p w14:paraId="5AE0701E" w14:textId="77777777" w:rsidR="00F90491" w:rsidRPr="003B4452" w:rsidRDefault="00F90491" w:rsidP="00A415E1">
      <w:pPr>
        <w:rPr>
          <w:sz w:val="22"/>
          <w:szCs w:val="22"/>
        </w:rPr>
      </w:pPr>
    </w:p>
    <w:p w14:paraId="75DAB524" w14:textId="52F503FC" w:rsidR="00BD56D7" w:rsidRPr="003B4452" w:rsidRDefault="00BD56D7" w:rsidP="00926617">
      <w:pPr>
        <w:rPr>
          <w:sz w:val="22"/>
          <w:szCs w:val="22"/>
        </w:rPr>
      </w:pPr>
      <w:r w:rsidRPr="003B4452">
        <w:rPr>
          <w:sz w:val="22"/>
          <w:szCs w:val="22"/>
        </w:rPr>
        <w:t>Further, after BFR procedure, the following UE behavior using SSB as QCL source is specified for all DL reception.</w:t>
      </w:r>
    </w:p>
    <w:tbl>
      <w:tblPr>
        <w:tblStyle w:val="TableGrid"/>
        <w:tblW w:w="0" w:type="auto"/>
        <w:tblLook w:val="04A0" w:firstRow="1" w:lastRow="0" w:firstColumn="1" w:lastColumn="0" w:noHBand="0" w:noVBand="1"/>
      </w:tblPr>
      <w:tblGrid>
        <w:gridCol w:w="10188"/>
      </w:tblGrid>
      <w:tr w:rsidR="00BD56D7" w:rsidRPr="003B4452" w14:paraId="06B4154E" w14:textId="77777777" w:rsidTr="00BD56D7">
        <w:tc>
          <w:tcPr>
            <w:tcW w:w="10188" w:type="dxa"/>
          </w:tcPr>
          <w:p w14:paraId="3B726CA4" w14:textId="77777777" w:rsidR="00BD56D7" w:rsidRPr="003B4452" w:rsidRDefault="00BD56D7" w:rsidP="00BD56D7">
            <w:pPr>
              <w:tabs>
                <w:tab w:val="left" w:pos="2116"/>
              </w:tabs>
              <w:rPr>
                <w:iCs/>
                <w:sz w:val="22"/>
                <w:szCs w:val="22"/>
              </w:rPr>
            </w:pPr>
          </w:p>
          <w:p w14:paraId="47E12E57" w14:textId="3ADC95FA" w:rsidR="00BD56D7" w:rsidRPr="003B4452" w:rsidRDefault="00BD56D7" w:rsidP="00BD56D7">
            <w:pPr>
              <w:tabs>
                <w:tab w:val="left" w:pos="2116"/>
              </w:tabs>
              <w:rPr>
                <w:sz w:val="22"/>
                <w:szCs w:val="22"/>
              </w:rPr>
            </w:pPr>
            <w:r w:rsidRPr="003B4452">
              <w:rPr>
                <w:iCs/>
                <w:sz w:val="22"/>
                <w:szCs w:val="22"/>
              </w:rPr>
              <w:t xml:space="preserve">If a UE is provided </w:t>
            </w:r>
            <w:r w:rsidRPr="003B4452">
              <w:rPr>
                <w:rFonts w:cs="Times"/>
                <w:i/>
                <w:sz w:val="22"/>
                <w:szCs w:val="16"/>
              </w:rPr>
              <w:t>dl-OrJointTCI-StateList</w:t>
            </w:r>
            <w:r w:rsidRPr="003B4452">
              <w:rPr>
                <w:rFonts w:cs="Times"/>
                <w:iCs/>
                <w:sz w:val="22"/>
                <w:szCs w:val="16"/>
              </w:rPr>
              <w:t xml:space="preserve"> or</w:t>
            </w:r>
            <w:r w:rsidRPr="003B4452">
              <w:rPr>
                <w:sz w:val="22"/>
                <w:szCs w:val="22"/>
              </w:rPr>
              <w:t xml:space="preserve"> </w:t>
            </w:r>
            <w:r w:rsidRPr="003B4452">
              <w:rPr>
                <w:i/>
                <w:iCs/>
                <w:sz w:val="22"/>
                <w:szCs w:val="22"/>
              </w:rPr>
              <w:t>TCI-UL-State</w:t>
            </w:r>
            <w:r w:rsidRPr="003B4452">
              <w:rPr>
                <w:iCs/>
                <w:sz w:val="22"/>
                <w:szCs w:val="22"/>
              </w:rPr>
              <w:t xml:space="preserve"> indicating a unified TCI state for the PCell or the PSCell [6, TS 38.214], after 28 symbols from a last symbol of </w:t>
            </w:r>
            <w:r w:rsidRPr="003B4452">
              <w:rPr>
                <w:sz w:val="22"/>
                <w:szCs w:val="22"/>
              </w:rPr>
              <w:t xml:space="preserve">a first PDCCH reception in a search space set provided by </w:t>
            </w:r>
            <w:r w:rsidRPr="003B4452">
              <w:rPr>
                <w:i/>
                <w:iCs/>
                <w:sz w:val="22"/>
                <w:szCs w:val="22"/>
              </w:rPr>
              <w:t>recoverySearchSpaceId</w:t>
            </w:r>
            <w:r w:rsidRPr="003B4452">
              <w:rPr>
                <w:iCs/>
                <w:sz w:val="22"/>
                <w:szCs w:val="22"/>
              </w:rPr>
              <w:t xml:space="preserve"> </w:t>
            </w:r>
            <w:r w:rsidRPr="003B4452">
              <w:rPr>
                <w:sz w:val="22"/>
                <w:szCs w:val="22"/>
              </w:rPr>
              <w:t>where the UE detects a DCI format with CRC scrambled by C-RNTI or MCS-C-RNTI, the UE</w:t>
            </w:r>
          </w:p>
          <w:p w14:paraId="24BB8B96" w14:textId="77777777" w:rsidR="00BD56D7" w:rsidRPr="003B4452" w:rsidRDefault="00BD56D7" w:rsidP="00BD56D7">
            <w:pPr>
              <w:pStyle w:val="B1"/>
              <w:rPr>
                <w:iCs/>
                <w:sz w:val="22"/>
                <w:szCs w:val="22"/>
              </w:rPr>
            </w:pPr>
            <w:r w:rsidRPr="003B4452">
              <w:rPr>
                <w:sz w:val="22"/>
                <w:szCs w:val="22"/>
              </w:rPr>
              <w:t>-</w:t>
            </w:r>
            <w:r w:rsidRPr="003B4452">
              <w:rPr>
                <w:sz w:val="22"/>
                <w:szCs w:val="22"/>
              </w:rPr>
              <w:tab/>
              <w:t xml:space="preserve">if </w:t>
            </w:r>
            <w:r w:rsidRPr="003B4452">
              <w:rPr>
                <w:i/>
                <w:sz w:val="22"/>
                <w:szCs w:val="20"/>
                <w:lang w:eastAsia="sv-SE"/>
              </w:rPr>
              <w:t>SSB-MTC-AdditionalPCI</w:t>
            </w:r>
            <w:r w:rsidRPr="003B4452">
              <w:rPr>
                <w:sz w:val="22"/>
                <w:szCs w:val="22"/>
              </w:rPr>
              <w:t xml:space="preserve"> is not provided, monitors PDCCH in all CORESETs, and receives PDSCH and aperiodic CSI-RS resource in a CSI-RS resource set with same indicated TCI state as for the PDCCH and PDSCH, using the </w:t>
            </w:r>
            <w:r w:rsidRPr="003B4452">
              <w:rPr>
                <w:iCs/>
                <w:sz w:val="22"/>
                <w:szCs w:val="22"/>
                <w:lang w:eastAsia="ja-JP"/>
              </w:rPr>
              <w:t xml:space="preserve">same antenna port quasi co-location parameters as the ones associated with the corresponding index </w:t>
            </w:r>
            <m:oMath>
              <m:sSub>
                <m:sSubPr>
                  <m:ctrlPr>
                    <w:rPr>
                      <w:rFonts w:ascii="Cambria Math" w:hAnsi="Cambria Math"/>
                      <w:i/>
                      <w:iCs/>
                      <w:sz w:val="22"/>
                      <w:szCs w:val="22"/>
                    </w:rPr>
                  </m:ctrlPr>
                </m:sSubPr>
                <m:e>
                  <m:r>
                    <w:rPr>
                      <w:rFonts w:ascii="Cambria Math"/>
                      <w:sz w:val="22"/>
                      <w:szCs w:val="22"/>
                    </w:rPr>
                    <m:t>q</m:t>
                  </m:r>
                </m:e>
                <m:sub>
                  <m:r>
                    <m:rPr>
                      <m:nor/>
                    </m:rPr>
                    <w:rPr>
                      <w:rFonts w:ascii="Cambria Math"/>
                      <w:iCs/>
                      <w:sz w:val="22"/>
                      <w:szCs w:val="22"/>
                    </w:rPr>
                    <m:t>new</m:t>
                  </m:r>
                  <m:ctrlPr>
                    <w:rPr>
                      <w:rFonts w:ascii="Cambria Math" w:hAnsi="Cambria Math"/>
                      <w:iCs/>
                      <w:sz w:val="22"/>
                      <w:szCs w:val="22"/>
                    </w:rPr>
                  </m:ctrlPr>
                </m:sub>
              </m:sSub>
            </m:oMath>
            <w:r w:rsidRPr="003B4452">
              <w:rPr>
                <w:iCs/>
                <w:sz w:val="22"/>
                <w:szCs w:val="22"/>
              </w:rPr>
              <w:t>, if any</w:t>
            </w:r>
          </w:p>
          <w:p w14:paraId="04D8A810" w14:textId="77777777" w:rsidR="00BD56D7" w:rsidRPr="003B4452" w:rsidRDefault="00BD56D7" w:rsidP="00926617">
            <w:pPr>
              <w:rPr>
                <w:sz w:val="22"/>
                <w:szCs w:val="22"/>
              </w:rPr>
            </w:pPr>
          </w:p>
        </w:tc>
      </w:tr>
    </w:tbl>
    <w:p w14:paraId="4138CA37" w14:textId="77777777" w:rsidR="00BD56D7" w:rsidRPr="003B4452" w:rsidRDefault="00BD56D7" w:rsidP="00926617">
      <w:pPr>
        <w:rPr>
          <w:sz w:val="22"/>
          <w:szCs w:val="22"/>
        </w:rPr>
      </w:pPr>
    </w:p>
    <w:p w14:paraId="7A82CAF3" w14:textId="0132226D" w:rsidR="00E5341A" w:rsidRPr="003B4452" w:rsidRDefault="00BD56D7">
      <w:pPr>
        <w:rPr>
          <w:sz w:val="22"/>
          <w:szCs w:val="22"/>
        </w:rPr>
      </w:pPr>
      <w:r w:rsidRPr="003B4452">
        <w:rPr>
          <w:sz w:val="22"/>
          <w:szCs w:val="22"/>
        </w:rPr>
        <w:t xml:space="preserve">Similarly, for Rel-18 LTM, the same mechanism can be reused and the TCI state in the beam indication of candidate cell can </w:t>
      </w:r>
      <w:r w:rsidR="00001DBE" w:rsidRPr="003B4452">
        <w:rPr>
          <w:sz w:val="22"/>
          <w:szCs w:val="22"/>
        </w:rPr>
        <w:t>indicate</w:t>
      </w:r>
      <w:r w:rsidRPr="003B4452">
        <w:rPr>
          <w:sz w:val="22"/>
          <w:szCs w:val="22"/>
        </w:rPr>
        <w:t xml:space="preserve"> candidate cell SSB</w:t>
      </w:r>
      <w:r w:rsidR="00001DBE" w:rsidRPr="003B4452">
        <w:rPr>
          <w:sz w:val="22"/>
          <w:szCs w:val="22"/>
        </w:rPr>
        <w:t xml:space="preserve"> as QCL source</w:t>
      </w:r>
      <w:r w:rsidRPr="003B4452">
        <w:rPr>
          <w:sz w:val="22"/>
          <w:szCs w:val="22"/>
        </w:rPr>
        <w:t xml:space="preserve">. </w:t>
      </w:r>
      <w:r w:rsidR="00CC3BE4" w:rsidRPr="003B4452">
        <w:rPr>
          <w:sz w:val="22"/>
          <w:szCs w:val="22"/>
        </w:rPr>
        <w:t xml:space="preserve">That is, SSB can be configured as QCL source of a TCI state used to receive PDCCH/PDSCH after cell switch. </w:t>
      </w:r>
      <w:r w:rsidR="003657F7" w:rsidRPr="003B4452">
        <w:rPr>
          <w:sz w:val="22"/>
          <w:szCs w:val="22"/>
        </w:rPr>
        <w:t xml:space="preserve">Alternatively, the TCI state in the beam indication of candidate cell can </w:t>
      </w:r>
      <w:r w:rsidR="00001DBE" w:rsidRPr="003B4452">
        <w:rPr>
          <w:sz w:val="22"/>
          <w:szCs w:val="22"/>
        </w:rPr>
        <w:t xml:space="preserve">indicate </w:t>
      </w:r>
      <w:r w:rsidR="003657F7" w:rsidRPr="003B4452">
        <w:rPr>
          <w:sz w:val="22"/>
          <w:szCs w:val="22"/>
        </w:rPr>
        <w:t xml:space="preserve">candidate cell TRS </w:t>
      </w:r>
      <w:r w:rsidR="00001DBE" w:rsidRPr="003B4452">
        <w:rPr>
          <w:sz w:val="22"/>
          <w:szCs w:val="22"/>
        </w:rPr>
        <w:t xml:space="preserve">as QCL source </w:t>
      </w:r>
      <w:r w:rsidR="003657F7" w:rsidRPr="003B4452">
        <w:rPr>
          <w:sz w:val="22"/>
          <w:szCs w:val="22"/>
        </w:rPr>
        <w:t>to minimize the spec impact</w:t>
      </w:r>
      <w:r w:rsidR="007C447E" w:rsidRPr="003B4452">
        <w:rPr>
          <w:sz w:val="22"/>
          <w:szCs w:val="22"/>
        </w:rPr>
        <w:t xml:space="preserve"> with the potential cell switching delay if the indicated TCI state is not activated before cell switch.</w:t>
      </w:r>
    </w:p>
    <w:p w14:paraId="477BFE30" w14:textId="0EE4FA02" w:rsidR="00E5341A" w:rsidRPr="003B4452" w:rsidRDefault="00E5341A">
      <w:pPr>
        <w:rPr>
          <w:sz w:val="22"/>
          <w:szCs w:val="22"/>
        </w:rPr>
      </w:pPr>
    </w:p>
    <w:p w14:paraId="0157C924" w14:textId="6C5C38E0" w:rsidR="00E5341A" w:rsidRPr="003B4452" w:rsidRDefault="00E5341A">
      <w:pPr>
        <w:rPr>
          <w:sz w:val="22"/>
          <w:szCs w:val="22"/>
        </w:rPr>
      </w:pPr>
      <w:r w:rsidRPr="003B4452">
        <w:rPr>
          <w:sz w:val="22"/>
          <w:szCs w:val="22"/>
        </w:rPr>
        <w:t xml:space="preserve">Regarding the RS in the TCI state </w:t>
      </w:r>
      <w:r w:rsidR="00C154E0" w:rsidRPr="003B4452">
        <w:rPr>
          <w:sz w:val="22"/>
          <w:szCs w:val="22"/>
        </w:rPr>
        <w:t xml:space="preserve">of a candidate cell </w:t>
      </w:r>
      <w:r w:rsidRPr="003B4452">
        <w:rPr>
          <w:sz w:val="22"/>
          <w:szCs w:val="22"/>
        </w:rPr>
        <w:t>before cell swi</w:t>
      </w:r>
      <w:r w:rsidR="00C154E0" w:rsidRPr="003B4452">
        <w:rPr>
          <w:sz w:val="22"/>
          <w:szCs w:val="22"/>
        </w:rPr>
        <w:t>tch, it is agreed that both SSB and TRS can be configured as RS of a TCI state. On the other hand, RAN1 also concluded that there is no consensus to support TRS tracking for candidate cell. Based on current RAN1 discussion, UE behavior is not clear when TRS is configured in a TCI state and the TCI state is activated before cell switch. To reflect current discussion and minimize specification impact, we propose to leave the UE behavior up to implementation.</w:t>
      </w:r>
    </w:p>
    <w:p w14:paraId="737CEEEE" w14:textId="02F06470" w:rsidR="00E5341A" w:rsidRPr="003B4452" w:rsidRDefault="00E5341A">
      <w:pPr>
        <w:rPr>
          <w:sz w:val="22"/>
          <w:szCs w:val="22"/>
        </w:rPr>
      </w:pPr>
    </w:p>
    <w:p w14:paraId="5B49C539" w14:textId="2F779F03" w:rsidR="008546A5" w:rsidRPr="003B4452" w:rsidRDefault="008546A5" w:rsidP="008546A5">
      <w:pPr>
        <w:pStyle w:val="Caption"/>
        <w:rPr>
          <w:sz w:val="22"/>
          <w:szCs w:val="22"/>
        </w:rPr>
      </w:pPr>
      <w:bookmarkStart w:id="7" w:name="_Ref146750395"/>
      <w:r w:rsidRPr="003B4452">
        <w:rPr>
          <w:sz w:val="22"/>
          <w:szCs w:val="22"/>
        </w:rPr>
        <w:t xml:space="preserve">Proposal </w:t>
      </w:r>
      <w:r w:rsidR="008D3C81" w:rsidRPr="003B4452">
        <w:rPr>
          <w:sz w:val="22"/>
          <w:szCs w:val="22"/>
        </w:rPr>
        <w:t>5</w:t>
      </w:r>
      <w:r w:rsidRPr="003B4452">
        <w:rPr>
          <w:sz w:val="22"/>
          <w:szCs w:val="22"/>
        </w:rPr>
        <w:t xml:space="preserve">: For Rel-18 L1/L2 mobility, when SSB is configured in the TCI state indicated in cell switch command, the indicated TCI state applies to signals/channels that follow or are configured to follow Rel-17 unified TCI at the target cell(s) </w:t>
      </w:r>
      <w:r w:rsidR="000D52C0" w:rsidRPr="003B4452">
        <w:rPr>
          <w:sz w:val="22"/>
          <w:szCs w:val="22"/>
        </w:rPr>
        <w:t>before</w:t>
      </w:r>
      <w:r w:rsidRPr="003B4452">
        <w:rPr>
          <w:sz w:val="22"/>
          <w:szCs w:val="22"/>
        </w:rPr>
        <w:t xml:space="preserve"> a new TCI state for target cell is indicated.</w:t>
      </w:r>
      <w:bookmarkEnd w:id="7"/>
    </w:p>
    <w:p w14:paraId="3EA5B2D1" w14:textId="77777777" w:rsidR="008546A5" w:rsidRPr="003B4452" w:rsidRDefault="008546A5">
      <w:pPr>
        <w:rPr>
          <w:sz w:val="22"/>
          <w:szCs w:val="22"/>
        </w:rPr>
      </w:pPr>
    </w:p>
    <w:p w14:paraId="3E335893" w14:textId="1D685CF9" w:rsidR="00C154E0" w:rsidRPr="003B4452" w:rsidRDefault="00C154E0" w:rsidP="00C154E0">
      <w:pPr>
        <w:pStyle w:val="Caption"/>
        <w:rPr>
          <w:sz w:val="22"/>
          <w:szCs w:val="22"/>
        </w:rPr>
      </w:pPr>
      <w:bookmarkStart w:id="8" w:name="_Ref146750403"/>
      <w:r w:rsidRPr="003B4452">
        <w:rPr>
          <w:sz w:val="22"/>
          <w:szCs w:val="22"/>
        </w:rPr>
        <w:t xml:space="preserve">Proposal </w:t>
      </w:r>
      <w:r w:rsidR="008D3C81" w:rsidRPr="003B4452">
        <w:rPr>
          <w:sz w:val="22"/>
          <w:szCs w:val="22"/>
        </w:rPr>
        <w:t>6</w:t>
      </w:r>
      <w:r w:rsidRPr="003B4452">
        <w:rPr>
          <w:sz w:val="22"/>
          <w:szCs w:val="22"/>
        </w:rPr>
        <w:t xml:space="preserve">: For Rel-18 L1/L2 mobility, when candidate cell TRS is configured in a TCI state and the TCI state is activated before reception of cell switch command, UE is not required to track the candidate cell TRS </w:t>
      </w:r>
      <w:r w:rsidR="000708BD" w:rsidRPr="003B4452">
        <w:rPr>
          <w:sz w:val="22"/>
          <w:szCs w:val="22"/>
        </w:rPr>
        <w:t>before cell switch</w:t>
      </w:r>
      <w:bookmarkEnd w:id="8"/>
    </w:p>
    <w:p w14:paraId="0EDABFEC" w14:textId="79018477" w:rsidR="000D52C0" w:rsidRPr="003B4452" w:rsidRDefault="000D52C0" w:rsidP="000D52C0">
      <w:pPr>
        <w:rPr>
          <w:sz w:val="22"/>
          <w:szCs w:val="22"/>
        </w:rPr>
      </w:pPr>
    </w:p>
    <w:p w14:paraId="4A43D13A" w14:textId="77777777" w:rsidR="000D52C0" w:rsidRPr="003B4452" w:rsidRDefault="000D52C0" w:rsidP="00583C55">
      <w:pPr>
        <w:rPr>
          <w:sz w:val="22"/>
          <w:szCs w:val="22"/>
        </w:rPr>
      </w:pPr>
    </w:p>
    <w:p w14:paraId="3C2DA583" w14:textId="77777777" w:rsidR="00C154E0" w:rsidRPr="003B4452" w:rsidRDefault="00C154E0">
      <w:pPr>
        <w:rPr>
          <w:sz w:val="22"/>
          <w:szCs w:val="22"/>
        </w:rPr>
      </w:pPr>
    </w:p>
    <w:tbl>
      <w:tblPr>
        <w:tblStyle w:val="TableGrid"/>
        <w:tblW w:w="0" w:type="auto"/>
        <w:tblLook w:val="04A0" w:firstRow="1" w:lastRow="0" w:firstColumn="1" w:lastColumn="0" w:noHBand="0" w:noVBand="1"/>
      </w:tblPr>
      <w:tblGrid>
        <w:gridCol w:w="10188"/>
      </w:tblGrid>
      <w:tr w:rsidR="00E5341A" w:rsidRPr="003B4452" w14:paraId="06D0ED14" w14:textId="77777777" w:rsidTr="00E5341A">
        <w:tc>
          <w:tcPr>
            <w:tcW w:w="10188" w:type="dxa"/>
          </w:tcPr>
          <w:p w14:paraId="1823DE1A" w14:textId="77777777" w:rsidR="00E5341A" w:rsidRPr="003B4452" w:rsidRDefault="00E5341A" w:rsidP="00E5341A">
            <w:pPr>
              <w:rPr>
                <w:sz w:val="22"/>
                <w:szCs w:val="22"/>
                <w:highlight w:val="green"/>
              </w:rPr>
            </w:pPr>
            <w:r w:rsidRPr="003B4452">
              <w:rPr>
                <w:b/>
                <w:bCs/>
                <w:sz w:val="22"/>
                <w:szCs w:val="22"/>
                <w:highlight w:val="green"/>
              </w:rPr>
              <w:t>Agreement</w:t>
            </w:r>
          </w:p>
          <w:p w14:paraId="330C4A03" w14:textId="77777777" w:rsidR="00E5341A" w:rsidRPr="003B4452" w:rsidRDefault="00E5341A" w:rsidP="00E5341A">
            <w:pPr>
              <w:rPr>
                <w:sz w:val="22"/>
                <w:szCs w:val="22"/>
              </w:rPr>
            </w:pPr>
            <w:r w:rsidRPr="003B4452">
              <w:rPr>
                <w:sz w:val="22"/>
                <w:szCs w:val="22"/>
              </w:rPr>
              <w:t xml:space="preserve">In R18 LTM, on the QCL source of the TCI state before/during the cell switch command, </w:t>
            </w:r>
          </w:p>
          <w:p w14:paraId="79802243" w14:textId="77777777" w:rsidR="00E5341A" w:rsidRPr="003B4452" w:rsidRDefault="00E5341A" w:rsidP="00E5341A">
            <w:pPr>
              <w:pStyle w:val="ListParagraph"/>
              <w:numPr>
                <w:ilvl w:val="0"/>
                <w:numId w:val="24"/>
              </w:numPr>
              <w:snapToGrid w:val="0"/>
              <w:spacing w:after="100" w:afterAutospacing="1"/>
              <w:contextualSpacing w:val="0"/>
              <w:rPr>
                <w:sz w:val="22"/>
                <w:szCs w:val="22"/>
              </w:rPr>
            </w:pPr>
            <w:r w:rsidRPr="003B4452">
              <w:rPr>
                <w:sz w:val="22"/>
                <w:szCs w:val="22"/>
              </w:rPr>
              <w:lastRenderedPageBreak/>
              <w:t>SSB or TRS can be configured in a TCI state for the candidate cell(s) before/during cell switch command</w:t>
            </w:r>
          </w:p>
          <w:p w14:paraId="43AF67FD" w14:textId="77777777" w:rsidR="00E5341A" w:rsidRPr="003B4452" w:rsidRDefault="00E5341A" w:rsidP="00E5341A">
            <w:pPr>
              <w:pStyle w:val="ListParagraph"/>
              <w:numPr>
                <w:ilvl w:val="1"/>
                <w:numId w:val="24"/>
              </w:numPr>
              <w:snapToGrid w:val="0"/>
              <w:spacing w:after="100" w:afterAutospacing="1"/>
              <w:contextualSpacing w:val="0"/>
              <w:rPr>
                <w:sz w:val="22"/>
                <w:szCs w:val="22"/>
              </w:rPr>
            </w:pPr>
            <w:r w:rsidRPr="003B4452">
              <w:rPr>
                <w:sz w:val="22"/>
                <w:szCs w:val="22"/>
              </w:rPr>
              <w:t>Whether the TRS can be used for the candidate cell(s) before/during cell switch command is up to UE capability</w:t>
            </w:r>
          </w:p>
          <w:p w14:paraId="62FC5EE2" w14:textId="77777777" w:rsidR="00E5341A" w:rsidRPr="003B4452" w:rsidRDefault="00E5341A">
            <w:pPr>
              <w:rPr>
                <w:sz w:val="22"/>
                <w:szCs w:val="22"/>
              </w:rPr>
            </w:pPr>
          </w:p>
        </w:tc>
      </w:tr>
    </w:tbl>
    <w:p w14:paraId="166F1327" w14:textId="77777777" w:rsidR="00E5341A" w:rsidRPr="003B4452" w:rsidRDefault="00E5341A">
      <w:pPr>
        <w:rPr>
          <w:sz w:val="22"/>
          <w:szCs w:val="22"/>
        </w:rPr>
      </w:pPr>
    </w:p>
    <w:p w14:paraId="4E3BDB1A" w14:textId="77777777" w:rsidR="003657F7" w:rsidRPr="003B4452" w:rsidRDefault="003657F7" w:rsidP="00A415E1">
      <w:pPr>
        <w:rPr>
          <w:sz w:val="22"/>
          <w:szCs w:val="22"/>
        </w:rPr>
      </w:pPr>
    </w:p>
    <w:tbl>
      <w:tblPr>
        <w:tblStyle w:val="TableGrid"/>
        <w:tblW w:w="0" w:type="auto"/>
        <w:tblLook w:val="04A0" w:firstRow="1" w:lastRow="0" w:firstColumn="1" w:lastColumn="0" w:noHBand="0" w:noVBand="1"/>
      </w:tblPr>
      <w:tblGrid>
        <w:gridCol w:w="10188"/>
      </w:tblGrid>
      <w:tr w:rsidR="003657F7" w:rsidRPr="003B4452" w14:paraId="51EDFF45" w14:textId="77777777" w:rsidTr="003657F7">
        <w:tc>
          <w:tcPr>
            <w:tcW w:w="10188" w:type="dxa"/>
          </w:tcPr>
          <w:p w14:paraId="16526AD1" w14:textId="77777777" w:rsidR="003657F7" w:rsidRPr="003B4452" w:rsidRDefault="003657F7" w:rsidP="003657F7">
            <w:pPr>
              <w:rPr>
                <w:sz w:val="22"/>
                <w:szCs w:val="22"/>
              </w:rPr>
            </w:pPr>
            <w:r w:rsidRPr="003B4452">
              <w:rPr>
                <w:b/>
                <w:bCs/>
                <w:sz w:val="22"/>
                <w:szCs w:val="22"/>
              </w:rPr>
              <w:t>Conclusion</w:t>
            </w:r>
          </w:p>
          <w:p w14:paraId="72D89BB4" w14:textId="77777777" w:rsidR="003657F7" w:rsidRPr="003B4452" w:rsidRDefault="003657F7" w:rsidP="003657F7">
            <w:pPr>
              <w:rPr>
                <w:sz w:val="22"/>
                <w:szCs w:val="22"/>
              </w:rPr>
            </w:pPr>
            <w:r w:rsidRPr="003B4452">
              <w:rPr>
                <w:sz w:val="22"/>
                <w:szCs w:val="22"/>
              </w:rPr>
              <w:t>There is no consensus to introduce additional mechanism to support the following procedures prior to and joint with the reception of L1/L2 cell switch command aiming at the reduction of handover delay/interruption in Rel-18 LTM</w:t>
            </w:r>
          </w:p>
          <w:p w14:paraId="7ADA490A" w14:textId="77777777" w:rsidR="003657F7" w:rsidRPr="003B4452" w:rsidRDefault="003657F7" w:rsidP="003657F7">
            <w:pPr>
              <w:rPr>
                <w:sz w:val="22"/>
                <w:szCs w:val="22"/>
              </w:rPr>
            </w:pPr>
            <w:r w:rsidRPr="003B4452">
              <w:rPr>
                <w:sz w:val="22"/>
                <w:szCs w:val="22"/>
              </w:rPr>
              <w:t xml:space="preserve">-        TRS tracking for candidate cells </w:t>
            </w:r>
          </w:p>
          <w:p w14:paraId="23310031" w14:textId="77777777" w:rsidR="003657F7" w:rsidRPr="003B4452" w:rsidRDefault="003657F7" w:rsidP="003657F7">
            <w:pPr>
              <w:rPr>
                <w:sz w:val="22"/>
                <w:szCs w:val="22"/>
              </w:rPr>
            </w:pPr>
            <w:r w:rsidRPr="003B4452">
              <w:rPr>
                <w:sz w:val="22"/>
                <w:szCs w:val="22"/>
              </w:rPr>
              <w:t>FFS: Whether/How the QCL reference information of TCI states of the candidate cell should be mapped to the source SSB</w:t>
            </w:r>
          </w:p>
          <w:p w14:paraId="29E11F82" w14:textId="77777777" w:rsidR="003657F7" w:rsidRPr="003B4452" w:rsidRDefault="003657F7" w:rsidP="003657F7">
            <w:pPr>
              <w:rPr>
                <w:sz w:val="22"/>
                <w:szCs w:val="22"/>
              </w:rPr>
            </w:pPr>
            <w:r w:rsidRPr="003B4452">
              <w:rPr>
                <w:sz w:val="22"/>
                <w:szCs w:val="22"/>
              </w:rPr>
              <w:t>Note: At least for the candidate cells which are current serving cells, TRS tracking prior to cell switch command is supported</w:t>
            </w:r>
          </w:p>
          <w:p w14:paraId="50907BE6" w14:textId="77777777" w:rsidR="003657F7" w:rsidRPr="003B4452" w:rsidRDefault="003657F7" w:rsidP="00A415E1">
            <w:pPr>
              <w:rPr>
                <w:sz w:val="22"/>
                <w:szCs w:val="22"/>
              </w:rPr>
            </w:pPr>
          </w:p>
        </w:tc>
      </w:tr>
    </w:tbl>
    <w:p w14:paraId="6021FDAD" w14:textId="105C4F83" w:rsidR="00F90491" w:rsidRPr="003B4452" w:rsidRDefault="003657F7" w:rsidP="00A415E1">
      <w:pPr>
        <w:rPr>
          <w:sz w:val="22"/>
          <w:szCs w:val="22"/>
        </w:rPr>
      </w:pPr>
      <w:r w:rsidRPr="003B4452">
        <w:rPr>
          <w:sz w:val="22"/>
          <w:szCs w:val="22"/>
        </w:rPr>
        <w:t xml:space="preserve"> </w:t>
      </w:r>
    </w:p>
    <w:p w14:paraId="5AADB8D4" w14:textId="5400FD14" w:rsidR="00BD56D7" w:rsidRPr="003B4452" w:rsidRDefault="00BD56D7" w:rsidP="00A415E1">
      <w:pPr>
        <w:rPr>
          <w:sz w:val="22"/>
          <w:szCs w:val="22"/>
        </w:rPr>
      </w:pPr>
    </w:p>
    <w:p w14:paraId="387DBC0E" w14:textId="77777777" w:rsidR="00926617" w:rsidRPr="003B4452" w:rsidRDefault="00926617" w:rsidP="00926617">
      <w:pPr>
        <w:rPr>
          <w:sz w:val="22"/>
          <w:szCs w:val="22"/>
        </w:rPr>
      </w:pPr>
    </w:p>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74EC4488" w14:textId="00A6CAB3" w:rsidR="001B6935" w:rsidRPr="003B4452" w:rsidRDefault="00372849" w:rsidP="00FD3E20">
      <w:pPr>
        <w:spacing w:afterLines="50" w:after="120"/>
        <w:rPr>
          <w:sz w:val="22"/>
          <w:szCs w:val="22"/>
        </w:rPr>
      </w:pPr>
      <w:r w:rsidRPr="003B4452">
        <w:rPr>
          <w:sz w:val="22"/>
          <w:szCs w:val="22"/>
        </w:rPr>
        <w:t>In summary, we have the following proposals.</w:t>
      </w:r>
    </w:p>
    <w:p w14:paraId="37FF7B24" w14:textId="77777777" w:rsidR="0033369A" w:rsidRPr="003B4452" w:rsidRDefault="0033369A" w:rsidP="00FD3E20">
      <w:pPr>
        <w:spacing w:afterLines="50" w:after="120"/>
        <w:rPr>
          <w:b/>
          <w:bCs/>
          <w:sz w:val="22"/>
          <w:szCs w:val="22"/>
        </w:rPr>
      </w:pPr>
    </w:p>
    <w:p w14:paraId="14E71895" w14:textId="2467E87F" w:rsidR="0033369A" w:rsidRPr="003B4452" w:rsidRDefault="0033369A" w:rsidP="00FD3E20">
      <w:pPr>
        <w:spacing w:afterLines="50" w:after="120"/>
        <w:rPr>
          <w:b/>
          <w:bCs/>
          <w:sz w:val="22"/>
          <w:szCs w:val="22"/>
        </w:rPr>
      </w:pPr>
      <w:r w:rsidRPr="003B4452">
        <w:rPr>
          <w:b/>
          <w:bCs/>
          <w:sz w:val="22"/>
          <w:szCs w:val="22"/>
        </w:rPr>
        <w:fldChar w:fldCharType="begin"/>
      </w:r>
      <w:r w:rsidRPr="003B4452">
        <w:rPr>
          <w:b/>
          <w:bCs/>
          <w:sz w:val="22"/>
          <w:szCs w:val="22"/>
        </w:rPr>
        <w:instrText xml:space="preserve"> REF _Ref149511274 \h  \* MERGEFORMAT </w:instrText>
      </w:r>
      <w:r w:rsidRPr="003B4452">
        <w:rPr>
          <w:b/>
          <w:bCs/>
          <w:sz w:val="22"/>
          <w:szCs w:val="22"/>
        </w:rPr>
      </w:r>
      <w:r w:rsidRPr="003B4452">
        <w:rPr>
          <w:b/>
          <w:bCs/>
          <w:sz w:val="22"/>
          <w:szCs w:val="22"/>
        </w:rPr>
        <w:fldChar w:fldCharType="separate"/>
      </w:r>
      <w:r w:rsidR="002E26B3" w:rsidRPr="003B4452">
        <w:rPr>
          <w:b/>
          <w:bCs/>
          <w:sz w:val="22"/>
          <w:szCs w:val="22"/>
        </w:rPr>
        <w:t xml:space="preserve">Proposal </w:t>
      </w:r>
      <w:r w:rsidR="008D3C81" w:rsidRPr="003B4452">
        <w:rPr>
          <w:b/>
          <w:bCs/>
          <w:noProof/>
          <w:sz w:val="22"/>
          <w:szCs w:val="22"/>
        </w:rPr>
        <w:t>1</w:t>
      </w:r>
      <w:r w:rsidR="002E26B3" w:rsidRPr="003B4452">
        <w:rPr>
          <w:b/>
          <w:bCs/>
          <w:sz w:val="22"/>
          <w:szCs w:val="22"/>
        </w:rPr>
        <w:t>: For Rel-18 L1/L2 mobility, after receiving cell switch command, UE uses the LTM TCI state provided in the cell switch command until a TCI state in the target cell is indicated based on legacy beam management</w:t>
      </w:r>
      <w:r w:rsidRPr="003B4452">
        <w:rPr>
          <w:b/>
          <w:bCs/>
          <w:sz w:val="22"/>
          <w:szCs w:val="22"/>
        </w:rPr>
        <w:fldChar w:fldCharType="end"/>
      </w:r>
    </w:p>
    <w:p w14:paraId="34E98587" w14:textId="414F2149" w:rsidR="0079105B" w:rsidRPr="003B4452" w:rsidRDefault="008F428F" w:rsidP="00FD3E20">
      <w:pPr>
        <w:spacing w:afterLines="50" w:after="120"/>
        <w:rPr>
          <w:b/>
          <w:bCs/>
          <w:sz w:val="22"/>
          <w:szCs w:val="22"/>
        </w:rPr>
      </w:pPr>
      <w:r w:rsidRPr="003B4452">
        <w:rPr>
          <w:b/>
          <w:bCs/>
          <w:sz w:val="22"/>
          <w:szCs w:val="22"/>
        </w:rPr>
        <w:fldChar w:fldCharType="begin"/>
      </w:r>
      <w:r w:rsidRPr="003B4452">
        <w:rPr>
          <w:b/>
          <w:bCs/>
          <w:sz w:val="22"/>
          <w:szCs w:val="22"/>
        </w:rPr>
        <w:instrText xml:space="preserve"> REF _Ref134795818 \h </w:instrText>
      </w:r>
      <w:r w:rsidR="002518D2" w:rsidRPr="003B4452">
        <w:rPr>
          <w:b/>
          <w:bCs/>
          <w:sz w:val="22"/>
          <w:szCs w:val="22"/>
        </w:rPr>
        <w:instrText xml:space="preserve"> \* MERGEFORMAT </w:instrText>
      </w:r>
      <w:r w:rsidRPr="003B4452">
        <w:rPr>
          <w:b/>
          <w:bCs/>
          <w:sz w:val="22"/>
          <w:szCs w:val="22"/>
        </w:rPr>
      </w:r>
      <w:r w:rsidRPr="003B4452">
        <w:rPr>
          <w:b/>
          <w:bCs/>
          <w:sz w:val="22"/>
          <w:szCs w:val="22"/>
        </w:rPr>
        <w:fldChar w:fldCharType="separate"/>
      </w:r>
      <w:r w:rsidR="002E26B3" w:rsidRPr="003B4452">
        <w:rPr>
          <w:b/>
          <w:bCs/>
          <w:sz w:val="22"/>
          <w:szCs w:val="22"/>
        </w:rPr>
        <w:t xml:space="preserve">Proposal </w:t>
      </w:r>
      <w:r w:rsidR="008D3C81" w:rsidRPr="003B4452">
        <w:rPr>
          <w:b/>
          <w:bCs/>
          <w:noProof/>
          <w:sz w:val="22"/>
          <w:szCs w:val="22"/>
        </w:rPr>
        <w:t>2</w:t>
      </w:r>
      <w:r w:rsidR="002E26B3" w:rsidRPr="003B4452">
        <w:rPr>
          <w:b/>
          <w:bCs/>
          <w:sz w:val="22"/>
          <w:szCs w:val="22"/>
        </w:rPr>
        <w:t xml:space="preserve">: For Rel-18 L1/L2 mobility, UE deactivates all active LTM TCI states other than the indicated TCI state </w:t>
      </w:r>
      <w:r w:rsidR="002E26B3" w:rsidRPr="003B4452">
        <w:rPr>
          <w:b/>
          <w:bCs/>
          <w:noProof/>
          <w:sz w:val="22"/>
          <w:szCs w:val="22"/>
        </w:rPr>
        <w:t>in</w:t>
      </w:r>
      <w:r w:rsidR="002E26B3" w:rsidRPr="003B4452">
        <w:rPr>
          <w:b/>
          <w:bCs/>
          <w:sz w:val="22"/>
          <w:szCs w:val="22"/>
        </w:rPr>
        <w:t xml:space="preserve"> a cell switch command after the reception of the </w:t>
      </w:r>
      <w:r w:rsidR="002E26B3" w:rsidRPr="003B4452">
        <w:rPr>
          <w:b/>
          <w:bCs/>
          <w:noProof/>
          <w:sz w:val="22"/>
          <w:szCs w:val="22"/>
        </w:rPr>
        <w:t>cell</w:t>
      </w:r>
      <w:r w:rsidR="002E26B3" w:rsidRPr="003B4452">
        <w:rPr>
          <w:b/>
          <w:bCs/>
          <w:sz w:val="22"/>
          <w:szCs w:val="22"/>
        </w:rPr>
        <w:t xml:space="preserve"> switch command.</w:t>
      </w:r>
      <w:r w:rsidRPr="003B4452">
        <w:rPr>
          <w:b/>
          <w:bCs/>
          <w:sz w:val="22"/>
          <w:szCs w:val="22"/>
        </w:rPr>
        <w:fldChar w:fldCharType="end"/>
      </w:r>
      <w:r w:rsidR="00982AEA" w:rsidRPr="003B4452">
        <w:rPr>
          <w:b/>
          <w:bCs/>
          <w:sz w:val="22"/>
          <w:szCs w:val="22"/>
        </w:rPr>
        <w:t xml:space="preserve"> </w:t>
      </w:r>
    </w:p>
    <w:p w14:paraId="7E3AA62D" w14:textId="13BCBC7F" w:rsidR="008F428F" w:rsidRPr="003B4452" w:rsidRDefault="0079105B" w:rsidP="00FD3E20">
      <w:pPr>
        <w:spacing w:afterLines="50" w:after="120"/>
        <w:rPr>
          <w:b/>
          <w:bCs/>
          <w:sz w:val="22"/>
          <w:szCs w:val="22"/>
        </w:rPr>
      </w:pPr>
      <w:r w:rsidRPr="003B4452">
        <w:rPr>
          <w:b/>
          <w:bCs/>
          <w:sz w:val="22"/>
          <w:szCs w:val="22"/>
        </w:rPr>
        <w:fldChar w:fldCharType="begin"/>
      </w:r>
      <w:r w:rsidRPr="003B4452">
        <w:rPr>
          <w:b/>
          <w:bCs/>
          <w:sz w:val="22"/>
          <w:szCs w:val="22"/>
        </w:rPr>
        <w:instrText xml:space="preserve"> REF _Ref127308614 \h </w:instrText>
      </w:r>
      <w:r w:rsidR="006466E6" w:rsidRPr="003B4452">
        <w:rPr>
          <w:b/>
          <w:bCs/>
          <w:sz w:val="22"/>
          <w:szCs w:val="22"/>
        </w:rPr>
        <w:instrText xml:space="preserve"> \* MERGEFORMAT </w:instrText>
      </w:r>
      <w:r w:rsidRPr="003B4452">
        <w:rPr>
          <w:b/>
          <w:bCs/>
          <w:sz w:val="22"/>
          <w:szCs w:val="22"/>
        </w:rPr>
      </w:r>
      <w:r w:rsidRPr="003B4452">
        <w:rPr>
          <w:b/>
          <w:bCs/>
          <w:sz w:val="22"/>
          <w:szCs w:val="22"/>
        </w:rPr>
        <w:fldChar w:fldCharType="separate"/>
      </w:r>
      <w:r w:rsidR="002E26B3" w:rsidRPr="003B4452">
        <w:rPr>
          <w:b/>
          <w:bCs/>
          <w:sz w:val="22"/>
          <w:szCs w:val="22"/>
        </w:rPr>
        <w:t xml:space="preserve">Proposal </w:t>
      </w:r>
      <w:r w:rsidR="008D3C81" w:rsidRPr="003B4452">
        <w:rPr>
          <w:b/>
          <w:bCs/>
          <w:noProof/>
          <w:sz w:val="22"/>
          <w:szCs w:val="22"/>
        </w:rPr>
        <w:t>3</w:t>
      </w:r>
      <w:r w:rsidR="002E26B3" w:rsidRPr="003B4452">
        <w:rPr>
          <w:b/>
          <w:bCs/>
          <w:sz w:val="22"/>
          <w:szCs w:val="22"/>
        </w:rPr>
        <w:t>: For Rel-18 L1/L2 mobility, L1-SINR is not supported for intra and inter-frequency candidate cell measurement.</w:t>
      </w:r>
      <w:r w:rsidRPr="003B4452">
        <w:rPr>
          <w:b/>
          <w:bCs/>
          <w:sz w:val="22"/>
          <w:szCs w:val="22"/>
        </w:rPr>
        <w:fldChar w:fldCharType="end"/>
      </w:r>
    </w:p>
    <w:p w14:paraId="097285C6" w14:textId="4A9818D8" w:rsidR="0033369A" w:rsidRPr="003B4452" w:rsidRDefault="008F428F" w:rsidP="00FD3E20">
      <w:pPr>
        <w:spacing w:afterLines="50" w:after="120"/>
        <w:rPr>
          <w:b/>
          <w:bCs/>
          <w:sz w:val="22"/>
          <w:szCs w:val="22"/>
        </w:rPr>
      </w:pPr>
      <w:r w:rsidRPr="003B4452">
        <w:rPr>
          <w:b/>
          <w:bCs/>
          <w:sz w:val="22"/>
          <w:szCs w:val="22"/>
        </w:rPr>
        <w:fldChar w:fldCharType="begin"/>
      </w:r>
      <w:r w:rsidRPr="003B4452">
        <w:rPr>
          <w:b/>
          <w:bCs/>
          <w:sz w:val="22"/>
          <w:szCs w:val="22"/>
        </w:rPr>
        <w:instrText xml:space="preserve"> REF _Ref127308624 \h  \* MERGEFORMAT </w:instrText>
      </w:r>
      <w:r w:rsidRPr="003B4452">
        <w:rPr>
          <w:b/>
          <w:bCs/>
          <w:sz w:val="22"/>
          <w:szCs w:val="22"/>
        </w:rPr>
      </w:r>
      <w:r w:rsidRPr="003B4452">
        <w:rPr>
          <w:b/>
          <w:bCs/>
          <w:sz w:val="22"/>
          <w:szCs w:val="22"/>
        </w:rPr>
        <w:fldChar w:fldCharType="separate"/>
      </w:r>
      <w:r w:rsidR="002E26B3" w:rsidRPr="003B4452">
        <w:rPr>
          <w:b/>
          <w:bCs/>
          <w:sz w:val="22"/>
          <w:szCs w:val="22"/>
        </w:rPr>
        <w:t xml:space="preserve">Proposal </w:t>
      </w:r>
      <w:r w:rsidR="008D3C81" w:rsidRPr="003B4452">
        <w:rPr>
          <w:b/>
          <w:bCs/>
          <w:noProof/>
          <w:sz w:val="22"/>
          <w:szCs w:val="22"/>
        </w:rPr>
        <w:t>4</w:t>
      </w:r>
      <w:r w:rsidR="002E26B3" w:rsidRPr="003B4452">
        <w:rPr>
          <w:b/>
          <w:bCs/>
          <w:sz w:val="22"/>
          <w:szCs w:val="22"/>
        </w:rPr>
        <w:t>: For Rel-18 L1/L2 mobility, Scenario 1 (beam indication before cell switch command) is not supported.</w:t>
      </w:r>
      <w:r w:rsidRPr="003B4452">
        <w:rPr>
          <w:b/>
          <w:bCs/>
          <w:sz w:val="22"/>
          <w:szCs w:val="22"/>
        </w:rPr>
        <w:fldChar w:fldCharType="end"/>
      </w:r>
    </w:p>
    <w:p w14:paraId="58BB6288" w14:textId="47FE05F6" w:rsidR="0033369A" w:rsidRPr="003B4452" w:rsidRDefault="0033369A" w:rsidP="00FD3E20">
      <w:pPr>
        <w:spacing w:afterLines="50" w:after="120"/>
        <w:rPr>
          <w:b/>
          <w:bCs/>
          <w:sz w:val="22"/>
          <w:szCs w:val="22"/>
        </w:rPr>
      </w:pPr>
      <w:r w:rsidRPr="003B4452">
        <w:rPr>
          <w:b/>
          <w:bCs/>
          <w:sz w:val="22"/>
          <w:szCs w:val="22"/>
        </w:rPr>
        <w:fldChar w:fldCharType="begin"/>
      </w:r>
      <w:r w:rsidRPr="003B4452">
        <w:rPr>
          <w:b/>
          <w:bCs/>
          <w:sz w:val="22"/>
          <w:szCs w:val="22"/>
        </w:rPr>
        <w:instrText xml:space="preserve"> REF _Ref146750395 \h </w:instrText>
      </w:r>
      <w:r w:rsidR="00951A65" w:rsidRPr="003B4452">
        <w:rPr>
          <w:b/>
          <w:bCs/>
          <w:sz w:val="22"/>
          <w:szCs w:val="22"/>
        </w:rPr>
        <w:instrText xml:space="preserve"> \* MERGEFORMAT </w:instrText>
      </w:r>
      <w:r w:rsidRPr="003B4452">
        <w:rPr>
          <w:b/>
          <w:bCs/>
          <w:sz w:val="22"/>
          <w:szCs w:val="22"/>
        </w:rPr>
      </w:r>
      <w:r w:rsidRPr="003B4452">
        <w:rPr>
          <w:b/>
          <w:bCs/>
          <w:sz w:val="22"/>
          <w:szCs w:val="22"/>
        </w:rPr>
        <w:fldChar w:fldCharType="separate"/>
      </w:r>
      <w:r w:rsidR="002E26B3" w:rsidRPr="003B4452">
        <w:rPr>
          <w:b/>
          <w:bCs/>
          <w:sz w:val="22"/>
          <w:szCs w:val="22"/>
        </w:rPr>
        <w:t xml:space="preserve">Proposal </w:t>
      </w:r>
      <w:r w:rsidR="008D3C81" w:rsidRPr="003B4452">
        <w:rPr>
          <w:b/>
          <w:bCs/>
          <w:noProof/>
          <w:sz w:val="22"/>
          <w:szCs w:val="22"/>
        </w:rPr>
        <w:t>5</w:t>
      </w:r>
      <w:r w:rsidR="002E26B3" w:rsidRPr="003B4452">
        <w:rPr>
          <w:b/>
          <w:bCs/>
          <w:sz w:val="22"/>
          <w:szCs w:val="22"/>
        </w:rPr>
        <w:t>: For Rel-18 L1/L2 mobility, when SSB is configured in the TCI state indicated in cell switch command, the indicated TCI state applies to signals/channels that follow or are configured to follow Rel-17 unified TCI at the target cell(s) before a new TCI state for target cell is indicated.</w:t>
      </w:r>
      <w:r w:rsidRPr="003B4452">
        <w:rPr>
          <w:b/>
          <w:bCs/>
          <w:sz w:val="22"/>
          <w:szCs w:val="22"/>
        </w:rPr>
        <w:fldChar w:fldCharType="end"/>
      </w:r>
    </w:p>
    <w:p w14:paraId="3462FF44" w14:textId="773792FE" w:rsidR="00A3709C" w:rsidRPr="003B4452" w:rsidRDefault="00A3709C" w:rsidP="00FD3E20">
      <w:pPr>
        <w:spacing w:afterLines="50" w:after="120"/>
        <w:rPr>
          <w:b/>
          <w:bCs/>
          <w:sz w:val="22"/>
          <w:szCs w:val="22"/>
        </w:rPr>
      </w:pPr>
      <w:r w:rsidRPr="003B4452">
        <w:rPr>
          <w:b/>
          <w:bCs/>
          <w:sz w:val="22"/>
          <w:szCs w:val="22"/>
        </w:rPr>
        <w:fldChar w:fldCharType="begin"/>
      </w:r>
      <w:r w:rsidRPr="003B4452">
        <w:rPr>
          <w:b/>
          <w:bCs/>
          <w:sz w:val="22"/>
          <w:szCs w:val="22"/>
        </w:rPr>
        <w:instrText xml:space="preserve"> REF _Ref146750403 \h </w:instrText>
      </w:r>
      <w:r w:rsidR="00D85219" w:rsidRPr="003B4452">
        <w:rPr>
          <w:b/>
          <w:bCs/>
          <w:sz w:val="22"/>
          <w:szCs w:val="22"/>
        </w:rPr>
        <w:instrText xml:space="preserve"> \* MERGEFORMAT </w:instrText>
      </w:r>
      <w:r w:rsidRPr="003B4452">
        <w:rPr>
          <w:b/>
          <w:bCs/>
          <w:sz w:val="22"/>
          <w:szCs w:val="22"/>
        </w:rPr>
      </w:r>
      <w:r w:rsidRPr="003B4452">
        <w:rPr>
          <w:b/>
          <w:bCs/>
          <w:sz w:val="22"/>
          <w:szCs w:val="22"/>
        </w:rPr>
        <w:fldChar w:fldCharType="separate"/>
      </w:r>
      <w:r w:rsidR="002E26B3" w:rsidRPr="003B4452">
        <w:rPr>
          <w:b/>
          <w:bCs/>
          <w:sz w:val="22"/>
          <w:szCs w:val="22"/>
        </w:rPr>
        <w:t xml:space="preserve">Proposal </w:t>
      </w:r>
      <w:r w:rsidR="008D3C81" w:rsidRPr="003B4452">
        <w:rPr>
          <w:b/>
          <w:bCs/>
          <w:noProof/>
          <w:sz w:val="22"/>
          <w:szCs w:val="22"/>
        </w:rPr>
        <w:t>6</w:t>
      </w:r>
      <w:r w:rsidR="002E26B3" w:rsidRPr="003B4452">
        <w:rPr>
          <w:b/>
          <w:bCs/>
          <w:sz w:val="22"/>
          <w:szCs w:val="22"/>
        </w:rPr>
        <w:t>: For Rel-18 L1/L2 mobility, when candidate cell TRS is configured in a TCI state and the TCI state is activated before reception of cell switch command, UE is not required to track the candidate cell TRS before cell switch</w:t>
      </w:r>
      <w:r w:rsidRPr="003B4452">
        <w:rPr>
          <w:b/>
          <w:bCs/>
          <w:sz w:val="22"/>
          <w:szCs w:val="22"/>
        </w:rPr>
        <w:fldChar w:fldCharType="end"/>
      </w:r>
    </w:p>
    <w:p w14:paraId="4D201C0D" w14:textId="77777777" w:rsidR="00372849" w:rsidRPr="00BA227D" w:rsidRDefault="00372849" w:rsidP="00FD3E20">
      <w:pPr>
        <w:spacing w:afterLines="50" w:after="120"/>
        <w:rPr>
          <w:b/>
          <w:bCs/>
        </w:rPr>
      </w:pPr>
    </w:p>
    <w:p w14:paraId="798A870D" w14:textId="5AFFFD6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bookmarkEnd w:id="0"/>
    <w:p w14:paraId="51F9AC35" w14:textId="02AA5219" w:rsidR="0012023B" w:rsidRPr="003B4452" w:rsidRDefault="0012023B" w:rsidP="002A32A3">
      <w:pPr>
        <w:numPr>
          <w:ilvl w:val="0"/>
          <w:numId w:val="6"/>
        </w:numPr>
        <w:spacing w:afterLines="50" w:after="120"/>
        <w:rPr>
          <w:sz w:val="22"/>
          <w:szCs w:val="22"/>
        </w:rPr>
      </w:pPr>
      <w:r w:rsidRPr="003B4452">
        <w:rPr>
          <w:sz w:val="22"/>
          <w:szCs w:val="22"/>
        </w:rPr>
        <w:t>Chairman’s notes, RAN1-115, Chicago, November 2024.</w:t>
      </w:r>
    </w:p>
    <w:sectPr w:rsidR="0012023B" w:rsidRPr="003B4452"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51BE3" w14:textId="77777777" w:rsidR="00FA7DFD" w:rsidRDefault="00FA7DFD">
      <w:r>
        <w:separator/>
      </w:r>
    </w:p>
  </w:endnote>
  <w:endnote w:type="continuationSeparator" w:id="0">
    <w:p w14:paraId="29EDAED0" w14:textId="77777777" w:rsidR="00FA7DFD" w:rsidRDefault="00FA7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8F644" w14:textId="77777777" w:rsidR="00FA7DFD" w:rsidRDefault="00FA7DFD">
      <w:r>
        <w:separator/>
      </w:r>
    </w:p>
  </w:footnote>
  <w:footnote w:type="continuationSeparator" w:id="0">
    <w:p w14:paraId="3490EFB9" w14:textId="77777777" w:rsidR="00FA7DFD" w:rsidRDefault="00FA7D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1" w15:restartNumberingAfterBreak="0">
    <w:nsid w:val="0AF21B72"/>
    <w:multiLevelType w:val="hybridMultilevel"/>
    <w:tmpl w:val="1A64B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0E1C74E7"/>
    <w:multiLevelType w:val="hybridMultilevel"/>
    <w:tmpl w:val="46EE7566"/>
    <w:lvl w:ilvl="0" w:tplc="A704DE8E">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F933894"/>
    <w:multiLevelType w:val="hybridMultilevel"/>
    <w:tmpl w:val="8AF443EC"/>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2F121D1"/>
    <w:multiLevelType w:val="hybridMultilevel"/>
    <w:tmpl w:val="479CB148"/>
    <w:lvl w:ilvl="0" w:tplc="A7CCAC7E">
      <w:start w:val="1"/>
      <w:numFmt w:val="bullet"/>
      <w:lvlText w:val=""/>
      <w:lvlJc w:val="left"/>
      <w:pPr>
        <w:ind w:left="480" w:hanging="480"/>
      </w:pPr>
      <w:rPr>
        <w:rFonts w:ascii="Symbol" w:hAnsi="Symbol"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7" w15:restartNumberingAfterBreak="0">
    <w:nsid w:val="262C2003"/>
    <w:multiLevelType w:val="hybridMultilevel"/>
    <w:tmpl w:val="3FE82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9"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DEB6AAB"/>
    <w:multiLevelType w:val="hybridMultilevel"/>
    <w:tmpl w:val="1FB6F7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0132CD0"/>
    <w:multiLevelType w:val="hybridMultilevel"/>
    <w:tmpl w:val="C3841C10"/>
    <w:lvl w:ilvl="0" w:tplc="04090001">
      <w:start w:val="1"/>
      <w:numFmt w:val="bullet"/>
      <w:lvlText w:val=""/>
      <w:lvlJc w:val="left"/>
      <w:pPr>
        <w:ind w:left="959" w:hanging="360"/>
      </w:pPr>
      <w:rPr>
        <w:rFonts w:ascii="Symbol" w:hAnsi="Symbol" w:hint="default"/>
      </w:rPr>
    </w:lvl>
    <w:lvl w:ilvl="1" w:tplc="04090003">
      <w:start w:val="1"/>
      <w:numFmt w:val="bullet"/>
      <w:lvlText w:val="o"/>
      <w:lvlJc w:val="left"/>
      <w:pPr>
        <w:ind w:left="1679" w:hanging="360"/>
      </w:pPr>
      <w:rPr>
        <w:rFonts w:ascii="Courier New" w:hAnsi="Courier New" w:cs="Courier New" w:hint="default"/>
      </w:rPr>
    </w:lvl>
    <w:lvl w:ilvl="2" w:tplc="04090005">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abstractNum w:abstractNumId="14"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EF103FA"/>
    <w:multiLevelType w:val="hybridMultilevel"/>
    <w:tmpl w:val="9FD41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573561"/>
    <w:multiLevelType w:val="hybridMultilevel"/>
    <w:tmpl w:val="7C80D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A627FD0"/>
    <w:multiLevelType w:val="hybridMultilevel"/>
    <w:tmpl w:val="0DE44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4" w15:restartNumberingAfterBreak="0">
    <w:nsid w:val="76420D13"/>
    <w:multiLevelType w:val="hybridMultilevel"/>
    <w:tmpl w:val="959893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5438660">
    <w:abstractNumId w:val="18"/>
  </w:num>
  <w:num w:numId="2" w16cid:durableId="139617384">
    <w:abstractNumId w:val="15"/>
  </w:num>
  <w:num w:numId="3" w16cid:durableId="479924303">
    <w:abstractNumId w:val="11"/>
  </w:num>
  <w:num w:numId="4" w16cid:durableId="295525114">
    <w:abstractNumId w:val="5"/>
  </w:num>
  <w:num w:numId="5" w16cid:durableId="1245451657">
    <w:abstractNumId w:val="8"/>
  </w:num>
  <w:num w:numId="6" w16cid:durableId="947738905">
    <w:abstractNumId w:val="9"/>
  </w:num>
  <w:num w:numId="7" w16cid:durableId="696200364">
    <w:abstractNumId w:val="25"/>
  </w:num>
  <w:num w:numId="8" w16cid:durableId="1079715335">
    <w:abstractNumId w:val="21"/>
  </w:num>
  <w:num w:numId="9" w16cid:durableId="1283463373">
    <w:abstractNumId w:val="19"/>
  </w:num>
  <w:num w:numId="10" w16cid:durableId="1540702067">
    <w:abstractNumId w:val="1"/>
  </w:num>
  <w:num w:numId="11" w16cid:durableId="259139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1668244">
    <w:abstractNumId w:val="2"/>
  </w:num>
  <w:num w:numId="13" w16cid:durableId="1749691737">
    <w:abstractNumId w:val="20"/>
  </w:num>
  <w:num w:numId="14" w16cid:durableId="830753877">
    <w:abstractNumId w:val="13"/>
  </w:num>
  <w:num w:numId="15" w16cid:durableId="1434741251">
    <w:abstractNumId w:val="4"/>
  </w:num>
  <w:num w:numId="16" w16cid:durableId="470560737">
    <w:abstractNumId w:val="16"/>
  </w:num>
  <w:num w:numId="17" w16cid:durableId="292366425">
    <w:abstractNumId w:val="7"/>
  </w:num>
  <w:num w:numId="18" w16cid:durableId="1086726583">
    <w:abstractNumId w:val="3"/>
  </w:num>
  <w:num w:numId="19" w16cid:durableId="1701123991">
    <w:abstractNumId w:val="0"/>
  </w:num>
  <w:num w:numId="20" w16cid:durableId="1535777259">
    <w:abstractNumId w:val="17"/>
  </w:num>
  <w:num w:numId="21" w16cid:durableId="974331628">
    <w:abstractNumId w:val="24"/>
  </w:num>
  <w:num w:numId="22" w16cid:durableId="1478956335">
    <w:abstractNumId w:val="12"/>
  </w:num>
  <w:num w:numId="23" w16cid:durableId="322972499">
    <w:abstractNumId w:val="6"/>
  </w:num>
  <w:num w:numId="24" w16cid:durableId="408815201">
    <w:abstractNumId w:val="10"/>
  </w:num>
  <w:num w:numId="25" w16cid:durableId="1339967767">
    <w:abstractNumId w:val="22"/>
  </w:num>
  <w:num w:numId="26" w16cid:durableId="1342120606">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857"/>
    <w:rsid w:val="00000FDA"/>
    <w:rsid w:val="00001215"/>
    <w:rsid w:val="00001239"/>
    <w:rsid w:val="00001825"/>
    <w:rsid w:val="00001DBE"/>
    <w:rsid w:val="000036F1"/>
    <w:rsid w:val="00003EE8"/>
    <w:rsid w:val="00006925"/>
    <w:rsid w:val="00006B8B"/>
    <w:rsid w:val="0000759B"/>
    <w:rsid w:val="00010471"/>
    <w:rsid w:val="000110AC"/>
    <w:rsid w:val="0001424D"/>
    <w:rsid w:val="000158B4"/>
    <w:rsid w:val="00016194"/>
    <w:rsid w:val="00017715"/>
    <w:rsid w:val="00020508"/>
    <w:rsid w:val="00020FD3"/>
    <w:rsid w:val="00021832"/>
    <w:rsid w:val="00021CC2"/>
    <w:rsid w:val="00021EE8"/>
    <w:rsid w:val="00021FE9"/>
    <w:rsid w:val="00023899"/>
    <w:rsid w:val="00024E16"/>
    <w:rsid w:val="00025A48"/>
    <w:rsid w:val="00026BE5"/>
    <w:rsid w:val="00027BA6"/>
    <w:rsid w:val="00027BEB"/>
    <w:rsid w:val="000315DA"/>
    <w:rsid w:val="00031647"/>
    <w:rsid w:val="00034199"/>
    <w:rsid w:val="00040278"/>
    <w:rsid w:val="00040981"/>
    <w:rsid w:val="0004159C"/>
    <w:rsid w:val="00042D66"/>
    <w:rsid w:val="00045399"/>
    <w:rsid w:val="000457AE"/>
    <w:rsid w:val="00045845"/>
    <w:rsid w:val="00045C1B"/>
    <w:rsid w:val="00046B73"/>
    <w:rsid w:val="00047056"/>
    <w:rsid w:val="00051159"/>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15D"/>
    <w:rsid w:val="00063398"/>
    <w:rsid w:val="00063F24"/>
    <w:rsid w:val="000647C0"/>
    <w:rsid w:val="00065C0F"/>
    <w:rsid w:val="00065D70"/>
    <w:rsid w:val="00066C1A"/>
    <w:rsid w:val="00067374"/>
    <w:rsid w:val="00067A78"/>
    <w:rsid w:val="000708BD"/>
    <w:rsid w:val="000710D3"/>
    <w:rsid w:val="00073375"/>
    <w:rsid w:val="000734C8"/>
    <w:rsid w:val="00073BC3"/>
    <w:rsid w:val="0007517C"/>
    <w:rsid w:val="00075251"/>
    <w:rsid w:val="00075492"/>
    <w:rsid w:val="00075540"/>
    <w:rsid w:val="000761F5"/>
    <w:rsid w:val="00076B98"/>
    <w:rsid w:val="00076E75"/>
    <w:rsid w:val="000773DA"/>
    <w:rsid w:val="000804BA"/>
    <w:rsid w:val="00080D27"/>
    <w:rsid w:val="000816D0"/>
    <w:rsid w:val="00081B12"/>
    <w:rsid w:val="00082463"/>
    <w:rsid w:val="0008248F"/>
    <w:rsid w:val="00082F17"/>
    <w:rsid w:val="00083027"/>
    <w:rsid w:val="00083331"/>
    <w:rsid w:val="0008343C"/>
    <w:rsid w:val="000834AF"/>
    <w:rsid w:val="00083D5E"/>
    <w:rsid w:val="00084A7D"/>
    <w:rsid w:val="00084E70"/>
    <w:rsid w:val="000867DC"/>
    <w:rsid w:val="00086E32"/>
    <w:rsid w:val="000870F6"/>
    <w:rsid w:val="00087302"/>
    <w:rsid w:val="00087331"/>
    <w:rsid w:val="00087E96"/>
    <w:rsid w:val="00087FA3"/>
    <w:rsid w:val="0009117E"/>
    <w:rsid w:val="00091B98"/>
    <w:rsid w:val="00091C8A"/>
    <w:rsid w:val="00093F56"/>
    <w:rsid w:val="0009449D"/>
    <w:rsid w:val="00094A5D"/>
    <w:rsid w:val="00094DEA"/>
    <w:rsid w:val="000955C4"/>
    <w:rsid w:val="00095AD3"/>
    <w:rsid w:val="000A0327"/>
    <w:rsid w:val="000A21D8"/>
    <w:rsid w:val="000A36DD"/>
    <w:rsid w:val="000A3C08"/>
    <w:rsid w:val="000A471A"/>
    <w:rsid w:val="000A55D4"/>
    <w:rsid w:val="000A7B1E"/>
    <w:rsid w:val="000B3299"/>
    <w:rsid w:val="000B565C"/>
    <w:rsid w:val="000B69C4"/>
    <w:rsid w:val="000B6D1E"/>
    <w:rsid w:val="000B7E80"/>
    <w:rsid w:val="000C083E"/>
    <w:rsid w:val="000C1B39"/>
    <w:rsid w:val="000C358C"/>
    <w:rsid w:val="000C39EA"/>
    <w:rsid w:val="000C4244"/>
    <w:rsid w:val="000C47BF"/>
    <w:rsid w:val="000C498F"/>
    <w:rsid w:val="000C4C01"/>
    <w:rsid w:val="000C5611"/>
    <w:rsid w:val="000C632B"/>
    <w:rsid w:val="000C63C5"/>
    <w:rsid w:val="000C6F99"/>
    <w:rsid w:val="000C7651"/>
    <w:rsid w:val="000D19CD"/>
    <w:rsid w:val="000D1B18"/>
    <w:rsid w:val="000D21E2"/>
    <w:rsid w:val="000D2A94"/>
    <w:rsid w:val="000D3990"/>
    <w:rsid w:val="000D47D9"/>
    <w:rsid w:val="000D52C0"/>
    <w:rsid w:val="000D59E3"/>
    <w:rsid w:val="000D5DFA"/>
    <w:rsid w:val="000D6052"/>
    <w:rsid w:val="000D62C5"/>
    <w:rsid w:val="000D7C8F"/>
    <w:rsid w:val="000E0152"/>
    <w:rsid w:val="000E13E3"/>
    <w:rsid w:val="000E2279"/>
    <w:rsid w:val="000E3102"/>
    <w:rsid w:val="000E3AC1"/>
    <w:rsid w:val="000E4BBD"/>
    <w:rsid w:val="000E4BCD"/>
    <w:rsid w:val="000E639C"/>
    <w:rsid w:val="000E7581"/>
    <w:rsid w:val="000F0538"/>
    <w:rsid w:val="000F1E63"/>
    <w:rsid w:val="000F4B50"/>
    <w:rsid w:val="000F4C3D"/>
    <w:rsid w:val="000F57F2"/>
    <w:rsid w:val="000F5FE4"/>
    <w:rsid w:val="000F757F"/>
    <w:rsid w:val="00100ACC"/>
    <w:rsid w:val="0010186E"/>
    <w:rsid w:val="00101E9C"/>
    <w:rsid w:val="001020DB"/>
    <w:rsid w:val="001031E2"/>
    <w:rsid w:val="001032BA"/>
    <w:rsid w:val="001032D6"/>
    <w:rsid w:val="001036C1"/>
    <w:rsid w:val="001054D7"/>
    <w:rsid w:val="00105D24"/>
    <w:rsid w:val="00105E44"/>
    <w:rsid w:val="00110248"/>
    <w:rsid w:val="0011044A"/>
    <w:rsid w:val="00110756"/>
    <w:rsid w:val="00110D16"/>
    <w:rsid w:val="00111E05"/>
    <w:rsid w:val="00112895"/>
    <w:rsid w:val="001136F0"/>
    <w:rsid w:val="00114BF2"/>
    <w:rsid w:val="00115BEE"/>
    <w:rsid w:val="00117C64"/>
    <w:rsid w:val="0012023B"/>
    <w:rsid w:val="00120A67"/>
    <w:rsid w:val="00120B5F"/>
    <w:rsid w:val="00121200"/>
    <w:rsid w:val="001218E5"/>
    <w:rsid w:val="001225B7"/>
    <w:rsid w:val="00122847"/>
    <w:rsid w:val="00122E72"/>
    <w:rsid w:val="001236A4"/>
    <w:rsid w:val="0012372F"/>
    <w:rsid w:val="00123908"/>
    <w:rsid w:val="001243FA"/>
    <w:rsid w:val="00125716"/>
    <w:rsid w:val="00125CE8"/>
    <w:rsid w:val="00131534"/>
    <w:rsid w:val="00132821"/>
    <w:rsid w:val="00133D1F"/>
    <w:rsid w:val="00133FF6"/>
    <w:rsid w:val="00134325"/>
    <w:rsid w:val="001355BF"/>
    <w:rsid w:val="00135C00"/>
    <w:rsid w:val="00135CC2"/>
    <w:rsid w:val="00135D0C"/>
    <w:rsid w:val="00136AC2"/>
    <w:rsid w:val="00137F31"/>
    <w:rsid w:val="00137F3D"/>
    <w:rsid w:val="00137F5E"/>
    <w:rsid w:val="00140A1B"/>
    <w:rsid w:val="00140F99"/>
    <w:rsid w:val="00141ADC"/>
    <w:rsid w:val="00141C60"/>
    <w:rsid w:val="0014253C"/>
    <w:rsid w:val="0014305D"/>
    <w:rsid w:val="00146391"/>
    <w:rsid w:val="00146558"/>
    <w:rsid w:val="00146721"/>
    <w:rsid w:val="001469F9"/>
    <w:rsid w:val="00146AA4"/>
    <w:rsid w:val="00147033"/>
    <w:rsid w:val="001473AD"/>
    <w:rsid w:val="00147826"/>
    <w:rsid w:val="001479BA"/>
    <w:rsid w:val="00150097"/>
    <w:rsid w:val="00150C61"/>
    <w:rsid w:val="00152DB4"/>
    <w:rsid w:val="00153063"/>
    <w:rsid w:val="001531AA"/>
    <w:rsid w:val="001542A6"/>
    <w:rsid w:val="001547AD"/>
    <w:rsid w:val="00156128"/>
    <w:rsid w:val="00157297"/>
    <w:rsid w:val="001601AD"/>
    <w:rsid w:val="00160343"/>
    <w:rsid w:val="0016069A"/>
    <w:rsid w:val="00161062"/>
    <w:rsid w:val="00162FB0"/>
    <w:rsid w:val="00163269"/>
    <w:rsid w:val="001633D3"/>
    <w:rsid w:val="0016444C"/>
    <w:rsid w:val="00164ED6"/>
    <w:rsid w:val="00164F24"/>
    <w:rsid w:val="00165D4D"/>
    <w:rsid w:val="001667BD"/>
    <w:rsid w:val="00167084"/>
    <w:rsid w:val="0017192A"/>
    <w:rsid w:val="00171C1F"/>
    <w:rsid w:val="001720CF"/>
    <w:rsid w:val="00173652"/>
    <w:rsid w:val="00173DFD"/>
    <w:rsid w:val="00173E11"/>
    <w:rsid w:val="00173FA6"/>
    <w:rsid w:val="00175D3A"/>
    <w:rsid w:val="00175FE6"/>
    <w:rsid w:val="00177FC5"/>
    <w:rsid w:val="00180126"/>
    <w:rsid w:val="00180E36"/>
    <w:rsid w:val="001818C8"/>
    <w:rsid w:val="0018358E"/>
    <w:rsid w:val="00183EF3"/>
    <w:rsid w:val="001846D0"/>
    <w:rsid w:val="001849CF"/>
    <w:rsid w:val="001900ED"/>
    <w:rsid w:val="00190B3D"/>
    <w:rsid w:val="00190C77"/>
    <w:rsid w:val="00190D08"/>
    <w:rsid w:val="00190DFE"/>
    <w:rsid w:val="00192F8D"/>
    <w:rsid w:val="0019328A"/>
    <w:rsid w:val="00194486"/>
    <w:rsid w:val="00194682"/>
    <w:rsid w:val="001948C2"/>
    <w:rsid w:val="0019491B"/>
    <w:rsid w:val="00195483"/>
    <w:rsid w:val="00195717"/>
    <w:rsid w:val="00196470"/>
    <w:rsid w:val="00196F20"/>
    <w:rsid w:val="0019740A"/>
    <w:rsid w:val="00197675"/>
    <w:rsid w:val="00197CD0"/>
    <w:rsid w:val="00197CF7"/>
    <w:rsid w:val="001A0B1E"/>
    <w:rsid w:val="001A16CD"/>
    <w:rsid w:val="001A28FE"/>
    <w:rsid w:val="001A2F1C"/>
    <w:rsid w:val="001A2FF5"/>
    <w:rsid w:val="001A73AC"/>
    <w:rsid w:val="001A741F"/>
    <w:rsid w:val="001A7B82"/>
    <w:rsid w:val="001B062D"/>
    <w:rsid w:val="001B11C8"/>
    <w:rsid w:val="001B1CB4"/>
    <w:rsid w:val="001B4281"/>
    <w:rsid w:val="001B457A"/>
    <w:rsid w:val="001B5424"/>
    <w:rsid w:val="001B5E24"/>
    <w:rsid w:val="001B6935"/>
    <w:rsid w:val="001B71EE"/>
    <w:rsid w:val="001C101A"/>
    <w:rsid w:val="001C15F6"/>
    <w:rsid w:val="001C17C4"/>
    <w:rsid w:val="001C17D4"/>
    <w:rsid w:val="001C2B3F"/>
    <w:rsid w:val="001C3CC4"/>
    <w:rsid w:val="001C401F"/>
    <w:rsid w:val="001C5151"/>
    <w:rsid w:val="001C5FF7"/>
    <w:rsid w:val="001C6262"/>
    <w:rsid w:val="001C6FCD"/>
    <w:rsid w:val="001C7FAE"/>
    <w:rsid w:val="001D2C74"/>
    <w:rsid w:val="001D3D7B"/>
    <w:rsid w:val="001E0B66"/>
    <w:rsid w:val="001E1209"/>
    <w:rsid w:val="001E3EE1"/>
    <w:rsid w:val="001E6038"/>
    <w:rsid w:val="001E6370"/>
    <w:rsid w:val="001E799C"/>
    <w:rsid w:val="001F0231"/>
    <w:rsid w:val="001F094B"/>
    <w:rsid w:val="001F1303"/>
    <w:rsid w:val="001F1DA2"/>
    <w:rsid w:val="001F1DE9"/>
    <w:rsid w:val="001F24B6"/>
    <w:rsid w:val="001F3EBE"/>
    <w:rsid w:val="001F4E0E"/>
    <w:rsid w:val="001F4EC9"/>
    <w:rsid w:val="001F590A"/>
    <w:rsid w:val="001F6982"/>
    <w:rsid w:val="001F703D"/>
    <w:rsid w:val="001F73DE"/>
    <w:rsid w:val="00200E87"/>
    <w:rsid w:val="00201774"/>
    <w:rsid w:val="00201860"/>
    <w:rsid w:val="00201DAA"/>
    <w:rsid w:val="00202C9A"/>
    <w:rsid w:val="00202D37"/>
    <w:rsid w:val="002043FC"/>
    <w:rsid w:val="00204F59"/>
    <w:rsid w:val="00205B9A"/>
    <w:rsid w:val="00205D8B"/>
    <w:rsid w:val="00205EAF"/>
    <w:rsid w:val="002067A2"/>
    <w:rsid w:val="002076C2"/>
    <w:rsid w:val="00210590"/>
    <w:rsid w:val="002106E1"/>
    <w:rsid w:val="002106ED"/>
    <w:rsid w:val="002137CC"/>
    <w:rsid w:val="00215285"/>
    <w:rsid w:val="00215987"/>
    <w:rsid w:val="002164D8"/>
    <w:rsid w:val="00216B15"/>
    <w:rsid w:val="0021718D"/>
    <w:rsid w:val="00217F2E"/>
    <w:rsid w:val="002201C1"/>
    <w:rsid w:val="002214BF"/>
    <w:rsid w:val="00221A15"/>
    <w:rsid w:val="00221AE6"/>
    <w:rsid w:val="002223C2"/>
    <w:rsid w:val="00222701"/>
    <w:rsid w:val="00223789"/>
    <w:rsid w:val="00223E88"/>
    <w:rsid w:val="00223F2E"/>
    <w:rsid w:val="002240F3"/>
    <w:rsid w:val="00224ECC"/>
    <w:rsid w:val="002259D0"/>
    <w:rsid w:val="00227192"/>
    <w:rsid w:val="00227213"/>
    <w:rsid w:val="00230019"/>
    <w:rsid w:val="0023012B"/>
    <w:rsid w:val="002309F0"/>
    <w:rsid w:val="00230A90"/>
    <w:rsid w:val="0023102D"/>
    <w:rsid w:val="002312A4"/>
    <w:rsid w:val="00232F53"/>
    <w:rsid w:val="00234B24"/>
    <w:rsid w:val="00235A20"/>
    <w:rsid w:val="00235FDB"/>
    <w:rsid w:val="00236AA8"/>
    <w:rsid w:val="00237B6F"/>
    <w:rsid w:val="00241112"/>
    <w:rsid w:val="00241ABA"/>
    <w:rsid w:val="00241B7E"/>
    <w:rsid w:val="00242CE2"/>
    <w:rsid w:val="00243DC2"/>
    <w:rsid w:val="0024455E"/>
    <w:rsid w:val="00244F69"/>
    <w:rsid w:val="00246837"/>
    <w:rsid w:val="00247F87"/>
    <w:rsid w:val="002518D2"/>
    <w:rsid w:val="002526F7"/>
    <w:rsid w:val="0025362F"/>
    <w:rsid w:val="002538ED"/>
    <w:rsid w:val="00255F76"/>
    <w:rsid w:val="002579A0"/>
    <w:rsid w:val="002607F3"/>
    <w:rsid w:val="00261353"/>
    <w:rsid w:val="00261EF6"/>
    <w:rsid w:val="00261F70"/>
    <w:rsid w:val="002621FF"/>
    <w:rsid w:val="00263EEA"/>
    <w:rsid w:val="002648D9"/>
    <w:rsid w:val="00264B95"/>
    <w:rsid w:val="002666EF"/>
    <w:rsid w:val="00267909"/>
    <w:rsid w:val="0027054C"/>
    <w:rsid w:val="00271467"/>
    <w:rsid w:val="0027235C"/>
    <w:rsid w:val="002729C4"/>
    <w:rsid w:val="00273551"/>
    <w:rsid w:val="0027414C"/>
    <w:rsid w:val="00274246"/>
    <w:rsid w:val="00274C62"/>
    <w:rsid w:val="002761FB"/>
    <w:rsid w:val="00276C2C"/>
    <w:rsid w:val="00280103"/>
    <w:rsid w:val="00281EB7"/>
    <w:rsid w:val="00282694"/>
    <w:rsid w:val="00282F61"/>
    <w:rsid w:val="00284421"/>
    <w:rsid w:val="002852B9"/>
    <w:rsid w:val="00285A32"/>
    <w:rsid w:val="00286309"/>
    <w:rsid w:val="002866E8"/>
    <w:rsid w:val="00286987"/>
    <w:rsid w:val="00287769"/>
    <w:rsid w:val="00290736"/>
    <w:rsid w:val="00290E8E"/>
    <w:rsid w:val="00290FF7"/>
    <w:rsid w:val="00291CF7"/>
    <w:rsid w:val="00292686"/>
    <w:rsid w:val="00292AB5"/>
    <w:rsid w:val="0029315B"/>
    <w:rsid w:val="00293799"/>
    <w:rsid w:val="0029411B"/>
    <w:rsid w:val="002946A4"/>
    <w:rsid w:val="002952E1"/>
    <w:rsid w:val="002958F9"/>
    <w:rsid w:val="00295A80"/>
    <w:rsid w:val="00296E15"/>
    <w:rsid w:val="00297B83"/>
    <w:rsid w:val="00297FA3"/>
    <w:rsid w:val="002A0AD7"/>
    <w:rsid w:val="002A29D4"/>
    <w:rsid w:val="002A32A3"/>
    <w:rsid w:val="002A3DB9"/>
    <w:rsid w:val="002A62C3"/>
    <w:rsid w:val="002A6AD4"/>
    <w:rsid w:val="002A75D2"/>
    <w:rsid w:val="002A7B32"/>
    <w:rsid w:val="002B04E1"/>
    <w:rsid w:val="002B0BA9"/>
    <w:rsid w:val="002B2653"/>
    <w:rsid w:val="002B276E"/>
    <w:rsid w:val="002B364B"/>
    <w:rsid w:val="002B39D5"/>
    <w:rsid w:val="002B4D54"/>
    <w:rsid w:val="002B51AC"/>
    <w:rsid w:val="002B6BF2"/>
    <w:rsid w:val="002B71A5"/>
    <w:rsid w:val="002B7A18"/>
    <w:rsid w:val="002C041B"/>
    <w:rsid w:val="002C106E"/>
    <w:rsid w:val="002C145E"/>
    <w:rsid w:val="002C1AD7"/>
    <w:rsid w:val="002C1C5A"/>
    <w:rsid w:val="002C3B6F"/>
    <w:rsid w:val="002C3C7E"/>
    <w:rsid w:val="002C3DE0"/>
    <w:rsid w:val="002C4854"/>
    <w:rsid w:val="002C4988"/>
    <w:rsid w:val="002C64F0"/>
    <w:rsid w:val="002C6E28"/>
    <w:rsid w:val="002C7BC1"/>
    <w:rsid w:val="002D0A17"/>
    <w:rsid w:val="002D182B"/>
    <w:rsid w:val="002D1B45"/>
    <w:rsid w:val="002D1F31"/>
    <w:rsid w:val="002D3847"/>
    <w:rsid w:val="002D3AFB"/>
    <w:rsid w:val="002D3D98"/>
    <w:rsid w:val="002D4E8F"/>
    <w:rsid w:val="002D572D"/>
    <w:rsid w:val="002D76D2"/>
    <w:rsid w:val="002E0FB3"/>
    <w:rsid w:val="002E1F10"/>
    <w:rsid w:val="002E20C2"/>
    <w:rsid w:val="002E21B0"/>
    <w:rsid w:val="002E26B3"/>
    <w:rsid w:val="002E29E7"/>
    <w:rsid w:val="002E4747"/>
    <w:rsid w:val="002E5C5D"/>
    <w:rsid w:val="002E6394"/>
    <w:rsid w:val="002E6F09"/>
    <w:rsid w:val="002E732C"/>
    <w:rsid w:val="002E78BC"/>
    <w:rsid w:val="002F0B0B"/>
    <w:rsid w:val="002F0F16"/>
    <w:rsid w:val="002F13D0"/>
    <w:rsid w:val="002F1ADD"/>
    <w:rsid w:val="002F4E48"/>
    <w:rsid w:val="002F5F4D"/>
    <w:rsid w:val="002F67C2"/>
    <w:rsid w:val="002F6F9D"/>
    <w:rsid w:val="003027C8"/>
    <w:rsid w:val="00302A97"/>
    <w:rsid w:val="00303028"/>
    <w:rsid w:val="00303875"/>
    <w:rsid w:val="00303A46"/>
    <w:rsid w:val="00303C1F"/>
    <w:rsid w:val="00304298"/>
    <w:rsid w:val="00304DC0"/>
    <w:rsid w:val="00305D34"/>
    <w:rsid w:val="00305F4D"/>
    <w:rsid w:val="00307020"/>
    <w:rsid w:val="00307E56"/>
    <w:rsid w:val="00310403"/>
    <w:rsid w:val="00310C4A"/>
    <w:rsid w:val="00310D31"/>
    <w:rsid w:val="00311789"/>
    <w:rsid w:val="00312706"/>
    <w:rsid w:val="00312D33"/>
    <w:rsid w:val="0031308F"/>
    <w:rsid w:val="00313C56"/>
    <w:rsid w:val="00313CFE"/>
    <w:rsid w:val="00313D52"/>
    <w:rsid w:val="0031425D"/>
    <w:rsid w:val="00314490"/>
    <w:rsid w:val="003157E5"/>
    <w:rsid w:val="00315A08"/>
    <w:rsid w:val="00317608"/>
    <w:rsid w:val="00317EB4"/>
    <w:rsid w:val="00317F48"/>
    <w:rsid w:val="00320BC8"/>
    <w:rsid w:val="003214DD"/>
    <w:rsid w:val="00321707"/>
    <w:rsid w:val="00321A55"/>
    <w:rsid w:val="00322050"/>
    <w:rsid w:val="00323B77"/>
    <w:rsid w:val="003261F7"/>
    <w:rsid w:val="00326615"/>
    <w:rsid w:val="003276BC"/>
    <w:rsid w:val="00327E72"/>
    <w:rsid w:val="00330F0B"/>
    <w:rsid w:val="00331A3A"/>
    <w:rsid w:val="00333217"/>
    <w:rsid w:val="0033369A"/>
    <w:rsid w:val="00334D95"/>
    <w:rsid w:val="00335660"/>
    <w:rsid w:val="00336533"/>
    <w:rsid w:val="003367E0"/>
    <w:rsid w:val="003374E0"/>
    <w:rsid w:val="00341882"/>
    <w:rsid w:val="00341C60"/>
    <w:rsid w:val="0034247C"/>
    <w:rsid w:val="003427C0"/>
    <w:rsid w:val="0034354A"/>
    <w:rsid w:val="00343A2F"/>
    <w:rsid w:val="00345CE7"/>
    <w:rsid w:val="003460CA"/>
    <w:rsid w:val="0034687F"/>
    <w:rsid w:val="0035139C"/>
    <w:rsid w:val="0035140D"/>
    <w:rsid w:val="00352189"/>
    <w:rsid w:val="003521AD"/>
    <w:rsid w:val="003530DA"/>
    <w:rsid w:val="003531AC"/>
    <w:rsid w:val="003536CA"/>
    <w:rsid w:val="00354230"/>
    <w:rsid w:val="00354E8A"/>
    <w:rsid w:val="00355A6E"/>
    <w:rsid w:val="00355D12"/>
    <w:rsid w:val="003560F8"/>
    <w:rsid w:val="003566C3"/>
    <w:rsid w:val="00357492"/>
    <w:rsid w:val="00361736"/>
    <w:rsid w:val="00363652"/>
    <w:rsid w:val="00363A69"/>
    <w:rsid w:val="00364844"/>
    <w:rsid w:val="00364A69"/>
    <w:rsid w:val="003656B5"/>
    <w:rsid w:val="003657F7"/>
    <w:rsid w:val="00366C9C"/>
    <w:rsid w:val="00366DB4"/>
    <w:rsid w:val="00366EF6"/>
    <w:rsid w:val="003672AD"/>
    <w:rsid w:val="00367D46"/>
    <w:rsid w:val="00370DD4"/>
    <w:rsid w:val="003714E2"/>
    <w:rsid w:val="003726ED"/>
    <w:rsid w:val="00372849"/>
    <w:rsid w:val="003733CE"/>
    <w:rsid w:val="00373729"/>
    <w:rsid w:val="00373993"/>
    <w:rsid w:val="003753D9"/>
    <w:rsid w:val="0037642B"/>
    <w:rsid w:val="0038016E"/>
    <w:rsid w:val="00381577"/>
    <w:rsid w:val="0038181F"/>
    <w:rsid w:val="00382B2A"/>
    <w:rsid w:val="00383E98"/>
    <w:rsid w:val="00384CBA"/>
    <w:rsid w:val="003857A4"/>
    <w:rsid w:val="00385B7E"/>
    <w:rsid w:val="00386FFB"/>
    <w:rsid w:val="0039058F"/>
    <w:rsid w:val="00390BE4"/>
    <w:rsid w:val="003914B8"/>
    <w:rsid w:val="0039243A"/>
    <w:rsid w:val="00392ED5"/>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CD7"/>
    <w:rsid w:val="003A76B1"/>
    <w:rsid w:val="003B03A1"/>
    <w:rsid w:val="003B08F0"/>
    <w:rsid w:val="003B112D"/>
    <w:rsid w:val="003B187C"/>
    <w:rsid w:val="003B1C2E"/>
    <w:rsid w:val="003B30B2"/>
    <w:rsid w:val="003B4327"/>
    <w:rsid w:val="003B4452"/>
    <w:rsid w:val="003B4964"/>
    <w:rsid w:val="003B4C50"/>
    <w:rsid w:val="003B5366"/>
    <w:rsid w:val="003B5A3B"/>
    <w:rsid w:val="003B5BD9"/>
    <w:rsid w:val="003B665E"/>
    <w:rsid w:val="003B70F8"/>
    <w:rsid w:val="003B7160"/>
    <w:rsid w:val="003B7CBA"/>
    <w:rsid w:val="003B7F0F"/>
    <w:rsid w:val="003C053B"/>
    <w:rsid w:val="003C11BB"/>
    <w:rsid w:val="003C1253"/>
    <w:rsid w:val="003C20D3"/>
    <w:rsid w:val="003C2301"/>
    <w:rsid w:val="003C26FA"/>
    <w:rsid w:val="003C2775"/>
    <w:rsid w:val="003C2F5E"/>
    <w:rsid w:val="003C637E"/>
    <w:rsid w:val="003C7202"/>
    <w:rsid w:val="003C74B3"/>
    <w:rsid w:val="003D02F1"/>
    <w:rsid w:val="003D04AB"/>
    <w:rsid w:val="003D063F"/>
    <w:rsid w:val="003D13A1"/>
    <w:rsid w:val="003D266A"/>
    <w:rsid w:val="003D2687"/>
    <w:rsid w:val="003D39BE"/>
    <w:rsid w:val="003D46BE"/>
    <w:rsid w:val="003D46D1"/>
    <w:rsid w:val="003D4AF3"/>
    <w:rsid w:val="003D4B3A"/>
    <w:rsid w:val="003D4BC8"/>
    <w:rsid w:val="003D4DD1"/>
    <w:rsid w:val="003D4F68"/>
    <w:rsid w:val="003D51BD"/>
    <w:rsid w:val="003D5B75"/>
    <w:rsid w:val="003D76D4"/>
    <w:rsid w:val="003D7971"/>
    <w:rsid w:val="003D7BD4"/>
    <w:rsid w:val="003E23AB"/>
    <w:rsid w:val="003E2F37"/>
    <w:rsid w:val="003E30AE"/>
    <w:rsid w:val="003E4EF1"/>
    <w:rsid w:val="003E577B"/>
    <w:rsid w:val="003E5B41"/>
    <w:rsid w:val="003F0199"/>
    <w:rsid w:val="003F10BD"/>
    <w:rsid w:val="003F17AD"/>
    <w:rsid w:val="003F1D19"/>
    <w:rsid w:val="003F1D8E"/>
    <w:rsid w:val="003F22F5"/>
    <w:rsid w:val="003F2EE5"/>
    <w:rsid w:val="003F47CB"/>
    <w:rsid w:val="003F4D51"/>
    <w:rsid w:val="003F50B7"/>
    <w:rsid w:val="003F5320"/>
    <w:rsid w:val="003F5555"/>
    <w:rsid w:val="003F5F57"/>
    <w:rsid w:val="003F698B"/>
    <w:rsid w:val="003F7051"/>
    <w:rsid w:val="003F7D6F"/>
    <w:rsid w:val="004006F8"/>
    <w:rsid w:val="004009C0"/>
    <w:rsid w:val="00401EDB"/>
    <w:rsid w:val="00402D16"/>
    <w:rsid w:val="004036E8"/>
    <w:rsid w:val="00404D0B"/>
    <w:rsid w:val="00405104"/>
    <w:rsid w:val="004063B2"/>
    <w:rsid w:val="004064E9"/>
    <w:rsid w:val="0041168B"/>
    <w:rsid w:val="004120B8"/>
    <w:rsid w:val="004141EB"/>
    <w:rsid w:val="00414ACF"/>
    <w:rsid w:val="0041507C"/>
    <w:rsid w:val="0041604B"/>
    <w:rsid w:val="00416EEA"/>
    <w:rsid w:val="004170CE"/>
    <w:rsid w:val="004171DB"/>
    <w:rsid w:val="00421346"/>
    <w:rsid w:val="00421401"/>
    <w:rsid w:val="004215AC"/>
    <w:rsid w:val="0042233F"/>
    <w:rsid w:val="00423D8A"/>
    <w:rsid w:val="004244F2"/>
    <w:rsid w:val="00425206"/>
    <w:rsid w:val="00425CF2"/>
    <w:rsid w:val="00426912"/>
    <w:rsid w:val="0042691E"/>
    <w:rsid w:val="004269C1"/>
    <w:rsid w:val="00427F43"/>
    <w:rsid w:val="00430C8E"/>
    <w:rsid w:val="004320D4"/>
    <w:rsid w:val="00432876"/>
    <w:rsid w:val="00432B61"/>
    <w:rsid w:val="00433B31"/>
    <w:rsid w:val="00433CA0"/>
    <w:rsid w:val="00434D2E"/>
    <w:rsid w:val="00435207"/>
    <w:rsid w:val="00435E41"/>
    <w:rsid w:val="0043623D"/>
    <w:rsid w:val="004366E0"/>
    <w:rsid w:val="00437807"/>
    <w:rsid w:val="00437A20"/>
    <w:rsid w:val="00437E50"/>
    <w:rsid w:val="00437F6B"/>
    <w:rsid w:val="004406C3"/>
    <w:rsid w:val="00440B68"/>
    <w:rsid w:val="004431C3"/>
    <w:rsid w:val="00444567"/>
    <w:rsid w:val="00444947"/>
    <w:rsid w:val="00444F89"/>
    <w:rsid w:val="00445DD0"/>
    <w:rsid w:val="0044680C"/>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6FAC"/>
    <w:rsid w:val="004570C2"/>
    <w:rsid w:val="004572F5"/>
    <w:rsid w:val="0045783B"/>
    <w:rsid w:val="0045794A"/>
    <w:rsid w:val="0046067E"/>
    <w:rsid w:val="004607C3"/>
    <w:rsid w:val="00460945"/>
    <w:rsid w:val="00460F5C"/>
    <w:rsid w:val="00463383"/>
    <w:rsid w:val="00463C56"/>
    <w:rsid w:val="004657D9"/>
    <w:rsid w:val="004664EC"/>
    <w:rsid w:val="0046657C"/>
    <w:rsid w:val="004671D5"/>
    <w:rsid w:val="004702BE"/>
    <w:rsid w:val="004706A4"/>
    <w:rsid w:val="004709F4"/>
    <w:rsid w:val="00471ADC"/>
    <w:rsid w:val="004724D3"/>
    <w:rsid w:val="004726AB"/>
    <w:rsid w:val="004727F8"/>
    <w:rsid w:val="004731A6"/>
    <w:rsid w:val="00473714"/>
    <w:rsid w:val="00474A6D"/>
    <w:rsid w:val="00474EA4"/>
    <w:rsid w:val="004750C2"/>
    <w:rsid w:val="004751A2"/>
    <w:rsid w:val="004755C2"/>
    <w:rsid w:val="00475787"/>
    <w:rsid w:val="00476CB2"/>
    <w:rsid w:val="0047741B"/>
    <w:rsid w:val="00480132"/>
    <w:rsid w:val="004804B7"/>
    <w:rsid w:val="00480C37"/>
    <w:rsid w:val="00480C51"/>
    <w:rsid w:val="00480CF0"/>
    <w:rsid w:val="0048132D"/>
    <w:rsid w:val="004819C0"/>
    <w:rsid w:val="00481D56"/>
    <w:rsid w:val="00482252"/>
    <w:rsid w:val="004828F8"/>
    <w:rsid w:val="004837E5"/>
    <w:rsid w:val="00483DAC"/>
    <w:rsid w:val="00484723"/>
    <w:rsid w:val="00486335"/>
    <w:rsid w:val="00490857"/>
    <w:rsid w:val="00491024"/>
    <w:rsid w:val="004912B8"/>
    <w:rsid w:val="00491813"/>
    <w:rsid w:val="00492483"/>
    <w:rsid w:val="0049335A"/>
    <w:rsid w:val="00493ACB"/>
    <w:rsid w:val="00494DC2"/>
    <w:rsid w:val="004963EA"/>
    <w:rsid w:val="00496643"/>
    <w:rsid w:val="004973F5"/>
    <w:rsid w:val="00497F15"/>
    <w:rsid w:val="004A0FE0"/>
    <w:rsid w:val="004A1878"/>
    <w:rsid w:val="004A2CB8"/>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B6601"/>
    <w:rsid w:val="004C00AD"/>
    <w:rsid w:val="004C0CB8"/>
    <w:rsid w:val="004C150F"/>
    <w:rsid w:val="004C15AF"/>
    <w:rsid w:val="004C1910"/>
    <w:rsid w:val="004C2B58"/>
    <w:rsid w:val="004C33A5"/>
    <w:rsid w:val="004C3696"/>
    <w:rsid w:val="004C3C8D"/>
    <w:rsid w:val="004C4198"/>
    <w:rsid w:val="004C41F5"/>
    <w:rsid w:val="004C45F5"/>
    <w:rsid w:val="004C468A"/>
    <w:rsid w:val="004C605B"/>
    <w:rsid w:val="004C60CF"/>
    <w:rsid w:val="004C6DA0"/>
    <w:rsid w:val="004C6DC5"/>
    <w:rsid w:val="004C740E"/>
    <w:rsid w:val="004D03A8"/>
    <w:rsid w:val="004D0CCA"/>
    <w:rsid w:val="004D2EC3"/>
    <w:rsid w:val="004D3E46"/>
    <w:rsid w:val="004D44EA"/>
    <w:rsid w:val="004D4CEF"/>
    <w:rsid w:val="004D56D8"/>
    <w:rsid w:val="004D662F"/>
    <w:rsid w:val="004E01EA"/>
    <w:rsid w:val="004E2D81"/>
    <w:rsid w:val="004E2EA2"/>
    <w:rsid w:val="004E2FB9"/>
    <w:rsid w:val="004E470A"/>
    <w:rsid w:val="004E59E5"/>
    <w:rsid w:val="004E5A17"/>
    <w:rsid w:val="004E7930"/>
    <w:rsid w:val="004E7F30"/>
    <w:rsid w:val="004F16E7"/>
    <w:rsid w:val="004F2271"/>
    <w:rsid w:val="004F354A"/>
    <w:rsid w:val="004F4BA5"/>
    <w:rsid w:val="004F5E1C"/>
    <w:rsid w:val="004F6594"/>
    <w:rsid w:val="004F6810"/>
    <w:rsid w:val="004F6D51"/>
    <w:rsid w:val="004F72EE"/>
    <w:rsid w:val="004F778F"/>
    <w:rsid w:val="0050043D"/>
    <w:rsid w:val="0050174D"/>
    <w:rsid w:val="00501B78"/>
    <w:rsid w:val="005021AD"/>
    <w:rsid w:val="00502AD7"/>
    <w:rsid w:val="00503D6B"/>
    <w:rsid w:val="005053B9"/>
    <w:rsid w:val="005061FA"/>
    <w:rsid w:val="005066EB"/>
    <w:rsid w:val="00511316"/>
    <w:rsid w:val="00511BDD"/>
    <w:rsid w:val="00512A49"/>
    <w:rsid w:val="00513927"/>
    <w:rsid w:val="005140CF"/>
    <w:rsid w:val="0051580B"/>
    <w:rsid w:val="00515E0F"/>
    <w:rsid w:val="00516D9D"/>
    <w:rsid w:val="00517038"/>
    <w:rsid w:val="00517CB2"/>
    <w:rsid w:val="00522ED6"/>
    <w:rsid w:val="00524312"/>
    <w:rsid w:val="00524DCF"/>
    <w:rsid w:val="00525055"/>
    <w:rsid w:val="00525433"/>
    <w:rsid w:val="0052558F"/>
    <w:rsid w:val="0052566B"/>
    <w:rsid w:val="00525D28"/>
    <w:rsid w:val="005273BD"/>
    <w:rsid w:val="005306FF"/>
    <w:rsid w:val="005332BA"/>
    <w:rsid w:val="00533CE0"/>
    <w:rsid w:val="00535C64"/>
    <w:rsid w:val="00535F46"/>
    <w:rsid w:val="005362A1"/>
    <w:rsid w:val="005365C9"/>
    <w:rsid w:val="0054126A"/>
    <w:rsid w:val="00541BFD"/>
    <w:rsid w:val="0054263A"/>
    <w:rsid w:val="00543AAF"/>
    <w:rsid w:val="00544119"/>
    <w:rsid w:val="0054455E"/>
    <w:rsid w:val="00544883"/>
    <w:rsid w:val="0054509E"/>
    <w:rsid w:val="00545B11"/>
    <w:rsid w:val="00550D87"/>
    <w:rsid w:val="0055114D"/>
    <w:rsid w:val="00551164"/>
    <w:rsid w:val="00551422"/>
    <w:rsid w:val="00552CF7"/>
    <w:rsid w:val="00552ED8"/>
    <w:rsid w:val="0055330E"/>
    <w:rsid w:val="00553B1D"/>
    <w:rsid w:val="00553CAE"/>
    <w:rsid w:val="005543B3"/>
    <w:rsid w:val="005548F7"/>
    <w:rsid w:val="00557BA0"/>
    <w:rsid w:val="00560EF2"/>
    <w:rsid w:val="00561760"/>
    <w:rsid w:val="00561DA8"/>
    <w:rsid w:val="00562A66"/>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E52"/>
    <w:rsid w:val="00573F31"/>
    <w:rsid w:val="00574EAF"/>
    <w:rsid w:val="0057698B"/>
    <w:rsid w:val="0058085F"/>
    <w:rsid w:val="00581AB4"/>
    <w:rsid w:val="0058357F"/>
    <w:rsid w:val="00583C55"/>
    <w:rsid w:val="00583EB3"/>
    <w:rsid w:val="00583F03"/>
    <w:rsid w:val="00584C38"/>
    <w:rsid w:val="00584E22"/>
    <w:rsid w:val="00585D2C"/>
    <w:rsid w:val="0058733E"/>
    <w:rsid w:val="00587DFB"/>
    <w:rsid w:val="00590229"/>
    <w:rsid w:val="00590551"/>
    <w:rsid w:val="00590615"/>
    <w:rsid w:val="00590F80"/>
    <w:rsid w:val="0059141C"/>
    <w:rsid w:val="0059192C"/>
    <w:rsid w:val="00591D3D"/>
    <w:rsid w:val="00592106"/>
    <w:rsid w:val="0059237F"/>
    <w:rsid w:val="00592912"/>
    <w:rsid w:val="0059309B"/>
    <w:rsid w:val="00593806"/>
    <w:rsid w:val="00593B74"/>
    <w:rsid w:val="005945C5"/>
    <w:rsid w:val="00595970"/>
    <w:rsid w:val="00595A83"/>
    <w:rsid w:val="00596CBE"/>
    <w:rsid w:val="00596FDB"/>
    <w:rsid w:val="0059722A"/>
    <w:rsid w:val="005975E4"/>
    <w:rsid w:val="005975E8"/>
    <w:rsid w:val="005A1934"/>
    <w:rsid w:val="005A1DDB"/>
    <w:rsid w:val="005A2711"/>
    <w:rsid w:val="005A36F1"/>
    <w:rsid w:val="005A4C13"/>
    <w:rsid w:val="005A5A40"/>
    <w:rsid w:val="005A5CE4"/>
    <w:rsid w:val="005A701A"/>
    <w:rsid w:val="005B1155"/>
    <w:rsid w:val="005B187A"/>
    <w:rsid w:val="005B5D3D"/>
    <w:rsid w:val="005B635F"/>
    <w:rsid w:val="005B67AD"/>
    <w:rsid w:val="005B67F5"/>
    <w:rsid w:val="005C01EF"/>
    <w:rsid w:val="005C0E96"/>
    <w:rsid w:val="005C149A"/>
    <w:rsid w:val="005C1686"/>
    <w:rsid w:val="005C223E"/>
    <w:rsid w:val="005C25EC"/>
    <w:rsid w:val="005C41F1"/>
    <w:rsid w:val="005C4F36"/>
    <w:rsid w:val="005C6179"/>
    <w:rsid w:val="005C6A36"/>
    <w:rsid w:val="005C6F1E"/>
    <w:rsid w:val="005C6FC6"/>
    <w:rsid w:val="005C7BC1"/>
    <w:rsid w:val="005D1527"/>
    <w:rsid w:val="005D17F9"/>
    <w:rsid w:val="005D1937"/>
    <w:rsid w:val="005D20F1"/>
    <w:rsid w:val="005D3C81"/>
    <w:rsid w:val="005D6123"/>
    <w:rsid w:val="005D66E6"/>
    <w:rsid w:val="005D687F"/>
    <w:rsid w:val="005D75E9"/>
    <w:rsid w:val="005D7E2B"/>
    <w:rsid w:val="005E00E4"/>
    <w:rsid w:val="005E0265"/>
    <w:rsid w:val="005E0D0C"/>
    <w:rsid w:val="005E10EE"/>
    <w:rsid w:val="005E117C"/>
    <w:rsid w:val="005E12CA"/>
    <w:rsid w:val="005E1EF3"/>
    <w:rsid w:val="005E22C3"/>
    <w:rsid w:val="005E22FD"/>
    <w:rsid w:val="005E29A5"/>
    <w:rsid w:val="005E346B"/>
    <w:rsid w:val="005E44FD"/>
    <w:rsid w:val="005E5326"/>
    <w:rsid w:val="005E5494"/>
    <w:rsid w:val="005F0197"/>
    <w:rsid w:val="005F123A"/>
    <w:rsid w:val="005F14D8"/>
    <w:rsid w:val="005F1C7D"/>
    <w:rsid w:val="005F1DAC"/>
    <w:rsid w:val="005F2E9A"/>
    <w:rsid w:val="005F49DE"/>
    <w:rsid w:val="005F63B1"/>
    <w:rsid w:val="005F64FF"/>
    <w:rsid w:val="005F6B14"/>
    <w:rsid w:val="005F75A1"/>
    <w:rsid w:val="005F7976"/>
    <w:rsid w:val="005F79DE"/>
    <w:rsid w:val="006010E0"/>
    <w:rsid w:val="006012DC"/>
    <w:rsid w:val="00602BAE"/>
    <w:rsid w:val="00603F7B"/>
    <w:rsid w:val="006052E5"/>
    <w:rsid w:val="00605CFD"/>
    <w:rsid w:val="00605E58"/>
    <w:rsid w:val="006063F1"/>
    <w:rsid w:val="00606BAA"/>
    <w:rsid w:val="00607302"/>
    <w:rsid w:val="006079CB"/>
    <w:rsid w:val="00610541"/>
    <w:rsid w:val="00611909"/>
    <w:rsid w:val="0061233F"/>
    <w:rsid w:val="006138E8"/>
    <w:rsid w:val="0061399B"/>
    <w:rsid w:val="00613C8C"/>
    <w:rsid w:val="006166F0"/>
    <w:rsid w:val="00617343"/>
    <w:rsid w:val="006173EF"/>
    <w:rsid w:val="00620165"/>
    <w:rsid w:val="00620BE8"/>
    <w:rsid w:val="00620F89"/>
    <w:rsid w:val="00621246"/>
    <w:rsid w:val="00621EE9"/>
    <w:rsid w:val="00623ECE"/>
    <w:rsid w:val="0062462F"/>
    <w:rsid w:val="006246ED"/>
    <w:rsid w:val="00624837"/>
    <w:rsid w:val="00624887"/>
    <w:rsid w:val="0062587D"/>
    <w:rsid w:val="00627328"/>
    <w:rsid w:val="00630416"/>
    <w:rsid w:val="00630A64"/>
    <w:rsid w:val="00631265"/>
    <w:rsid w:val="00631CD9"/>
    <w:rsid w:val="006342DE"/>
    <w:rsid w:val="00635623"/>
    <w:rsid w:val="00636D1E"/>
    <w:rsid w:val="006371E0"/>
    <w:rsid w:val="00637358"/>
    <w:rsid w:val="006377D0"/>
    <w:rsid w:val="00637D46"/>
    <w:rsid w:val="00640298"/>
    <w:rsid w:val="006407B5"/>
    <w:rsid w:val="006414B7"/>
    <w:rsid w:val="006432E7"/>
    <w:rsid w:val="00645856"/>
    <w:rsid w:val="00645F4C"/>
    <w:rsid w:val="006466E6"/>
    <w:rsid w:val="00646844"/>
    <w:rsid w:val="0064702E"/>
    <w:rsid w:val="00647180"/>
    <w:rsid w:val="006471B0"/>
    <w:rsid w:val="006509A7"/>
    <w:rsid w:val="00651CA3"/>
    <w:rsid w:val="006525B0"/>
    <w:rsid w:val="006531AD"/>
    <w:rsid w:val="006538B5"/>
    <w:rsid w:val="00654E6E"/>
    <w:rsid w:val="0065586D"/>
    <w:rsid w:val="00655B65"/>
    <w:rsid w:val="00655E6C"/>
    <w:rsid w:val="00656233"/>
    <w:rsid w:val="00656559"/>
    <w:rsid w:val="006573AC"/>
    <w:rsid w:val="0066201D"/>
    <w:rsid w:val="00662C60"/>
    <w:rsid w:val="00663C30"/>
    <w:rsid w:val="00663D3E"/>
    <w:rsid w:val="00664204"/>
    <w:rsid w:val="00665FBF"/>
    <w:rsid w:val="00666E4E"/>
    <w:rsid w:val="00667C5E"/>
    <w:rsid w:val="006713F3"/>
    <w:rsid w:val="00672EDB"/>
    <w:rsid w:val="006735ED"/>
    <w:rsid w:val="00673D75"/>
    <w:rsid w:val="00674657"/>
    <w:rsid w:val="00674805"/>
    <w:rsid w:val="00674BBB"/>
    <w:rsid w:val="00674EC5"/>
    <w:rsid w:val="00675676"/>
    <w:rsid w:val="006760DE"/>
    <w:rsid w:val="0067627C"/>
    <w:rsid w:val="0067740E"/>
    <w:rsid w:val="00680A5A"/>
    <w:rsid w:val="00681EA2"/>
    <w:rsid w:val="006832D4"/>
    <w:rsid w:val="006834F7"/>
    <w:rsid w:val="00683927"/>
    <w:rsid w:val="006843EF"/>
    <w:rsid w:val="00686DD1"/>
    <w:rsid w:val="00691650"/>
    <w:rsid w:val="00691983"/>
    <w:rsid w:val="00692FCE"/>
    <w:rsid w:val="00693ADB"/>
    <w:rsid w:val="00693FAE"/>
    <w:rsid w:val="00694C4A"/>
    <w:rsid w:val="00695123"/>
    <w:rsid w:val="00695414"/>
    <w:rsid w:val="00695FE9"/>
    <w:rsid w:val="0069640D"/>
    <w:rsid w:val="00697BBB"/>
    <w:rsid w:val="006A1E6E"/>
    <w:rsid w:val="006A1F50"/>
    <w:rsid w:val="006A1FFD"/>
    <w:rsid w:val="006A242F"/>
    <w:rsid w:val="006A2454"/>
    <w:rsid w:val="006A2A64"/>
    <w:rsid w:val="006A2B03"/>
    <w:rsid w:val="006A3540"/>
    <w:rsid w:val="006A427B"/>
    <w:rsid w:val="006A456A"/>
    <w:rsid w:val="006A4F06"/>
    <w:rsid w:val="006A5640"/>
    <w:rsid w:val="006A5FB0"/>
    <w:rsid w:val="006A6267"/>
    <w:rsid w:val="006A7C52"/>
    <w:rsid w:val="006B0486"/>
    <w:rsid w:val="006B0507"/>
    <w:rsid w:val="006B1479"/>
    <w:rsid w:val="006B15AA"/>
    <w:rsid w:val="006B16A6"/>
    <w:rsid w:val="006B16D0"/>
    <w:rsid w:val="006B1B05"/>
    <w:rsid w:val="006B1C90"/>
    <w:rsid w:val="006B2E86"/>
    <w:rsid w:val="006B39AD"/>
    <w:rsid w:val="006B44A8"/>
    <w:rsid w:val="006B4657"/>
    <w:rsid w:val="006B48E8"/>
    <w:rsid w:val="006B5406"/>
    <w:rsid w:val="006B55CF"/>
    <w:rsid w:val="006B5DFA"/>
    <w:rsid w:val="006B65AC"/>
    <w:rsid w:val="006B7F53"/>
    <w:rsid w:val="006C0827"/>
    <w:rsid w:val="006C0CA7"/>
    <w:rsid w:val="006C1381"/>
    <w:rsid w:val="006C16FA"/>
    <w:rsid w:val="006C187A"/>
    <w:rsid w:val="006C1D67"/>
    <w:rsid w:val="006C212B"/>
    <w:rsid w:val="006C2731"/>
    <w:rsid w:val="006C2FAE"/>
    <w:rsid w:val="006C346B"/>
    <w:rsid w:val="006C3C52"/>
    <w:rsid w:val="006C4340"/>
    <w:rsid w:val="006C6181"/>
    <w:rsid w:val="006C65D7"/>
    <w:rsid w:val="006C66AD"/>
    <w:rsid w:val="006C6861"/>
    <w:rsid w:val="006D0FDF"/>
    <w:rsid w:val="006D1CDD"/>
    <w:rsid w:val="006D407B"/>
    <w:rsid w:val="006D4C32"/>
    <w:rsid w:val="006D51F8"/>
    <w:rsid w:val="006D6280"/>
    <w:rsid w:val="006E0AB8"/>
    <w:rsid w:val="006E111E"/>
    <w:rsid w:val="006E143C"/>
    <w:rsid w:val="006E1F0B"/>
    <w:rsid w:val="006E1FBE"/>
    <w:rsid w:val="006E26DD"/>
    <w:rsid w:val="006E2EF2"/>
    <w:rsid w:val="006E31ED"/>
    <w:rsid w:val="006E4BA2"/>
    <w:rsid w:val="006E6392"/>
    <w:rsid w:val="006E7A57"/>
    <w:rsid w:val="006F36CB"/>
    <w:rsid w:val="006F3968"/>
    <w:rsid w:val="006F54EA"/>
    <w:rsid w:val="006F57F1"/>
    <w:rsid w:val="006F614A"/>
    <w:rsid w:val="006F7B83"/>
    <w:rsid w:val="006F7BAF"/>
    <w:rsid w:val="0070098C"/>
    <w:rsid w:val="00701078"/>
    <w:rsid w:val="00702C58"/>
    <w:rsid w:val="00703A98"/>
    <w:rsid w:val="00703BAC"/>
    <w:rsid w:val="007057C9"/>
    <w:rsid w:val="007057F3"/>
    <w:rsid w:val="007067CD"/>
    <w:rsid w:val="00706EEA"/>
    <w:rsid w:val="00710EC2"/>
    <w:rsid w:val="00710F30"/>
    <w:rsid w:val="00710FFE"/>
    <w:rsid w:val="00711A44"/>
    <w:rsid w:val="0071236A"/>
    <w:rsid w:val="00712516"/>
    <w:rsid w:val="00714F11"/>
    <w:rsid w:val="007151BC"/>
    <w:rsid w:val="007166F9"/>
    <w:rsid w:val="0071713B"/>
    <w:rsid w:val="00717340"/>
    <w:rsid w:val="007177D7"/>
    <w:rsid w:val="00720036"/>
    <w:rsid w:val="007208DC"/>
    <w:rsid w:val="00720AEA"/>
    <w:rsid w:val="0072100D"/>
    <w:rsid w:val="0072205D"/>
    <w:rsid w:val="0072212C"/>
    <w:rsid w:val="00723CBA"/>
    <w:rsid w:val="00724E92"/>
    <w:rsid w:val="0072574D"/>
    <w:rsid w:val="007303BB"/>
    <w:rsid w:val="007310DB"/>
    <w:rsid w:val="00735673"/>
    <w:rsid w:val="007358BD"/>
    <w:rsid w:val="00735CE6"/>
    <w:rsid w:val="007364B4"/>
    <w:rsid w:val="007371B6"/>
    <w:rsid w:val="00741157"/>
    <w:rsid w:val="00741B34"/>
    <w:rsid w:val="00742CAF"/>
    <w:rsid w:val="00742FAA"/>
    <w:rsid w:val="00743177"/>
    <w:rsid w:val="00743460"/>
    <w:rsid w:val="007444B1"/>
    <w:rsid w:val="0074456C"/>
    <w:rsid w:val="007458D6"/>
    <w:rsid w:val="00746FF0"/>
    <w:rsid w:val="00747DDC"/>
    <w:rsid w:val="0075095F"/>
    <w:rsid w:val="0075123C"/>
    <w:rsid w:val="00751498"/>
    <w:rsid w:val="00751E60"/>
    <w:rsid w:val="00753021"/>
    <w:rsid w:val="007531A2"/>
    <w:rsid w:val="007539B2"/>
    <w:rsid w:val="00753F2B"/>
    <w:rsid w:val="00756103"/>
    <w:rsid w:val="0075633B"/>
    <w:rsid w:val="0075740A"/>
    <w:rsid w:val="00757E72"/>
    <w:rsid w:val="007605FD"/>
    <w:rsid w:val="00760782"/>
    <w:rsid w:val="007626E5"/>
    <w:rsid w:val="00762743"/>
    <w:rsid w:val="007633E6"/>
    <w:rsid w:val="007639F1"/>
    <w:rsid w:val="00765514"/>
    <w:rsid w:val="007667C1"/>
    <w:rsid w:val="00766B89"/>
    <w:rsid w:val="0076746E"/>
    <w:rsid w:val="007675FE"/>
    <w:rsid w:val="007705B1"/>
    <w:rsid w:val="007706E9"/>
    <w:rsid w:val="00771184"/>
    <w:rsid w:val="00771323"/>
    <w:rsid w:val="007721E6"/>
    <w:rsid w:val="007729A6"/>
    <w:rsid w:val="00772E36"/>
    <w:rsid w:val="00772F24"/>
    <w:rsid w:val="00773924"/>
    <w:rsid w:val="00773AA3"/>
    <w:rsid w:val="00773B13"/>
    <w:rsid w:val="00774409"/>
    <w:rsid w:val="00775074"/>
    <w:rsid w:val="00775AEE"/>
    <w:rsid w:val="00775F3A"/>
    <w:rsid w:val="00776F34"/>
    <w:rsid w:val="007773A5"/>
    <w:rsid w:val="007773CA"/>
    <w:rsid w:val="007775E1"/>
    <w:rsid w:val="00780F9D"/>
    <w:rsid w:val="0078114C"/>
    <w:rsid w:val="00781432"/>
    <w:rsid w:val="007815A3"/>
    <w:rsid w:val="00783E63"/>
    <w:rsid w:val="00785A0E"/>
    <w:rsid w:val="00785C38"/>
    <w:rsid w:val="00786361"/>
    <w:rsid w:val="00786DA7"/>
    <w:rsid w:val="0078701F"/>
    <w:rsid w:val="00787AB1"/>
    <w:rsid w:val="00787ED2"/>
    <w:rsid w:val="00790B4C"/>
    <w:rsid w:val="0079105B"/>
    <w:rsid w:val="00791FCE"/>
    <w:rsid w:val="00792718"/>
    <w:rsid w:val="00794443"/>
    <w:rsid w:val="00794A6A"/>
    <w:rsid w:val="007956A3"/>
    <w:rsid w:val="007971E2"/>
    <w:rsid w:val="007A19F3"/>
    <w:rsid w:val="007A1CC4"/>
    <w:rsid w:val="007A295B"/>
    <w:rsid w:val="007A41F6"/>
    <w:rsid w:val="007A4749"/>
    <w:rsid w:val="007A4D83"/>
    <w:rsid w:val="007A5761"/>
    <w:rsid w:val="007A5E04"/>
    <w:rsid w:val="007A5EB6"/>
    <w:rsid w:val="007A622C"/>
    <w:rsid w:val="007A6BD3"/>
    <w:rsid w:val="007A7564"/>
    <w:rsid w:val="007A7595"/>
    <w:rsid w:val="007A77A9"/>
    <w:rsid w:val="007A78FD"/>
    <w:rsid w:val="007B1B06"/>
    <w:rsid w:val="007B43A9"/>
    <w:rsid w:val="007B46E7"/>
    <w:rsid w:val="007B4F4C"/>
    <w:rsid w:val="007B5B43"/>
    <w:rsid w:val="007B5E3A"/>
    <w:rsid w:val="007B5E9F"/>
    <w:rsid w:val="007B6DA3"/>
    <w:rsid w:val="007B6FFB"/>
    <w:rsid w:val="007B76FE"/>
    <w:rsid w:val="007C04E7"/>
    <w:rsid w:val="007C21A5"/>
    <w:rsid w:val="007C246A"/>
    <w:rsid w:val="007C3431"/>
    <w:rsid w:val="007C3D15"/>
    <w:rsid w:val="007C3E52"/>
    <w:rsid w:val="007C447E"/>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2EE9"/>
    <w:rsid w:val="007D3362"/>
    <w:rsid w:val="007D4109"/>
    <w:rsid w:val="007D465C"/>
    <w:rsid w:val="007D4AAC"/>
    <w:rsid w:val="007D6BAE"/>
    <w:rsid w:val="007D7432"/>
    <w:rsid w:val="007D7A33"/>
    <w:rsid w:val="007E04F4"/>
    <w:rsid w:val="007E0F32"/>
    <w:rsid w:val="007E21EA"/>
    <w:rsid w:val="007E2765"/>
    <w:rsid w:val="007E3446"/>
    <w:rsid w:val="007E36DB"/>
    <w:rsid w:val="007E3EFF"/>
    <w:rsid w:val="007E40DA"/>
    <w:rsid w:val="007E52E1"/>
    <w:rsid w:val="007E5AAE"/>
    <w:rsid w:val="007E6677"/>
    <w:rsid w:val="007E6A07"/>
    <w:rsid w:val="007E6EFB"/>
    <w:rsid w:val="007E762A"/>
    <w:rsid w:val="007F1623"/>
    <w:rsid w:val="007F16B7"/>
    <w:rsid w:val="007F1936"/>
    <w:rsid w:val="007F1DB8"/>
    <w:rsid w:val="007F206A"/>
    <w:rsid w:val="007F20C0"/>
    <w:rsid w:val="007F2DC3"/>
    <w:rsid w:val="007F3315"/>
    <w:rsid w:val="007F33F5"/>
    <w:rsid w:val="007F4BB0"/>
    <w:rsid w:val="007F7B50"/>
    <w:rsid w:val="008003E3"/>
    <w:rsid w:val="008004A9"/>
    <w:rsid w:val="008016C3"/>
    <w:rsid w:val="00801BB7"/>
    <w:rsid w:val="00802351"/>
    <w:rsid w:val="008026F7"/>
    <w:rsid w:val="00802BAD"/>
    <w:rsid w:val="00802D97"/>
    <w:rsid w:val="00803B9C"/>
    <w:rsid w:val="00804F1B"/>
    <w:rsid w:val="00806378"/>
    <w:rsid w:val="008074BA"/>
    <w:rsid w:val="00810A3A"/>
    <w:rsid w:val="00812A1D"/>
    <w:rsid w:val="008132F0"/>
    <w:rsid w:val="0081386B"/>
    <w:rsid w:val="0081483F"/>
    <w:rsid w:val="00815506"/>
    <w:rsid w:val="00815850"/>
    <w:rsid w:val="00816D90"/>
    <w:rsid w:val="00821311"/>
    <w:rsid w:val="00821ADC"/>
    <w:rsid w:val="008233F0"/>
    <w:rsid w:val="00823C3E"/>
    <w:rsid w:val="00823C69"/>
    <w:rsid w:val="00823FE1"/>
    <w:rsid w:val="00824F30"/>
    <w:rsid w:val="00825069"/>
    <w:rsid w:val="008266A6"/>
    <w:rsid w:val="00827A7A"/>
    <w:rsid w:val="00827CDD"/>
    <w:rsid w:val="00831642"/>
    <w:rsid w:val="00831D4E"/>
    <w:rsid w:val="00833393"/>
    <w:rsid w:val="008342E9"/>
    <w:rsid w:val="00834484"/>
    <w:rsid w:val="008351C1"/>
    <w:rsid w:val="008369BD"/>
    <w:rsid w:val="00836DF0"/>
    <w:rsid w:val="00836E0A"/>
    <w:rsid w:val="00837A66"/>
    <w:rsid w:val="00841883"/>
    <w:rsid w:val="00841FBF"/>
    <w:rsid w:val="00843CAB"/>
    <w:rsid w:val="00844738"/>
    <w:rsid w:val="00844775"/>
    <w:rsid w:val="008454A6"/>
    <w:rsid w:val="00845F42"/>
    <w:rsid w:val="008504A1"/>
    <w:rsid w:val="008511BD"/>
    <w:rsid w:val="00851664"/>
    <w:rsid w:val="0085176D"/>
    <w:rsid w:val="00851E57"/>
    <w:rsid w:val="0085257C"/>
    <w:rsid w:val="00852894"/>
    <w:rsid w:val="00852C56"/>
    <w:rsid w:val="0085358E"/>
    <w:rsid w:val="0085402E"/>
    <w:rsid w:val="0085438A"/>
    <w:rsid w:val="008546A5"/>
    <w:rsid w:val="00854FB3"/>
    <w:rsid w:val="0085517F"/>
    <w:rsid w:val="00855942"/>
    <w:rsid w:val="00855953"/>
    <w:rsid w:val="00855A87"/>
    <w:rsid w:val="00856670"/>
    <w:rsid w:val="00857B0E"/>
    <w:rsid w:val="008602E4"/>
    <w:rsid w:val="00861277"/>
    <w:rsid w:val="00863EFD"/>
    <w:rsid w:val="008640D4"/>
    <w:rsid w:val="00864E4A"/>
    <w:rsid w:val="008655A7"/>
    <w:rsid w:val="00866459"/>
    <w:rsid w:val="00867B4C"/>
    <w:rsid w:val="00867C8A"/>
    <w:rsid w:val="00867F57"/>
    <w:rsid w:val="008715DA"/>
    <w:rsid w:val="00871CC7"/>
    <w:rsid w:val="00872FD5"/>
    <w:rsid w:val="008732C5"/>
    <w:rsid w:val="00873E57"/>
    <w:rsid w:val="00873F88"/>
    <w:rsid w:val="0087537B"/>
    <w:rsid w:val="0087729D"/>
    <w:rsid w:val="00877A8E"/>
    <w:rsid w:val="00880546"/>
    <w:rsid w:val="00881C58"/>
    <w:rsid w:val="00881DDA"/>
    <w:rsid w:val="00882846"/>
    <w:rsid w:val="00883380"/>
    <w:rsid w:val="00884482"/>
    <w:rsid w:val="00884582"/>
    <w:rsid w:val="00886D7C"/>
    <w:rsid w:val="008909B3"/>
    <w:rsid w:val="008913BD"/>
    <w:rsid w:val="0089260E"/>
    <w:rsid w:val="00892E43"/>
    <w:rsid w:val="00892EF1"/>
    <w:rsid w:val="00893B6A"/>
    <w:rsid w:val="008940FE"/>
    <w:rsid w:val="00894C8F"/>
    <w:rsid w:val="00894DA9"/>
    <w:rsid w:val="00894FD8"/>
    <w:rsid w:val="00895F04"/>
    <w:rsid w:val="00896264"/>
    <w:rsid w:val="00896666"/>
    <w:rsid w:val="008969FF"/>
    <w:rsid w:val="00896EEB"/>
    <w:rsid w:val="008A2437"/>
    <w:rsid w:val="008A25FB"/>
    <w:rsid w:val="008A2AC0"/>
    <w:rsid w:val="008A3C16"/>
    <w:rsid w:val="008A5849"/>
    <w:rsid w:val="008A5C74"/>
    <w:rsid w:val="008A62F8"/>
    <w:rsid w:val="008A66EA"/>
    <w:rsid w:val="008A74E8"/>
    <w:rsid w:val="008B001A"/>
    <w:rsid w:val="008B08BB"/>
    <w:rsid w:val="008B3735"/>
    <w:rsid w:val="008B5576"/>
    <w:rsid w:val="008B5A17"/>
    <w:rsid w:val="008B6786"/>
    <w:rsid w:val="008B6CB9"/>
    <w:rsid w:val="008C18F6"/>
    <w:rsid w:val="008C4247"/>
    <w:rsid w:val="008C5852"/>
    <w:rsid w:val="008C7FB8"/>
    <w:rsid w:val="008D00C3"/>
    <w:rsid w:val="008D05C7"/>
    <w:rsid w:val="008D0C16"/>
    <w:rsid w:val="008D0E94"/>
    <w:rsid w:val="008D118F"/>
    <w:rsid w:val="008D2719"/>
    <w:rsid w:val="008D318C"/>
    <w:rsid w:val="008D3C81"/>
    <w:rsid w:val="008D52F9"/>
    <w:rsid w:val="008D539A"/>
    <w:rsid w:val="008D53E3"/>
    <w:rsid w:val="008D5A30"/>
    <w:rsid w:val="008D61F1"/>
    <w:rsid w:val="008D6930"/>
    <w:rsid w:val="008D7224"/>
    <w:rsid w:val="008D7FE3"/>
    <w:rsid w:val="008E08A3"/>
    <w:rsid w:val="008E093F"/>
    <w:rsid w:val="008E20AD"/>
    <w:rsid w:val="008E2E28"/>
    <w:rsid w:val="008E3116"/>
    <w:rsid w:val="008E38E0"/>
    <w:rsid w:val="008E7348"/>
    <w:rsid w:val="008E7957"/>
    <w:rsid w:val="008E79C4"/>
    <w:rsid w:val="008F06D9"/>
    <w:rsid w:val="008F0808"/>
    <w:rsid w:val="008F26DD"/>
    <w:rsid w:val="008F2727"/>
    <w:rsid w:val="008F2FB7"/>
    <w:rsid w:val="008F300C"/>
    <w:rsid w:val="008F428F"/>
    <w:rsid w:val="008F5767"/>
    <w:rsid w:val="008F57BA"/>
    <w:rsid w:val="008F5E05"/>
    <w:rsid w:val="008F7A9D"/>
    <w:rsid w:val="00900B4D"/>
    <w:rsid w:val="00900E9F"/>
    <w:rsid w:val="0090194F"/>
    <w:rsid w:val="00901A96"/>
    <w:rsid w:val="00901EFB"/>
    <w:rsid w:val="009025D4"/>
    <w:rsid w:val="00904101"/>
    <w:rsid w:val="00904ADE"/>
    <w:rsid w:val="00905793"/>
    <w:rsid w:val="00905796"/>
    <w:rsid w:val="00905BFC"/>
    <w:rsid w:val="00905E97"/>
    <w:rsid w:val="00906CF5"/>
    <w:rsid w:val="00906F53"/>
    <w:rsid w:val="009078BD"/>
    <w:rsid w:val="00910EA4"/>
    <w:rsid w:val="009115AB"/>
    <w:rsid w:val="009119BA"/>
    <w:rsid w:val="009128CE"/>
    <w:rsid w:val="00912AEB"/>
    <w:rsid w:val="00913C3D"/>
    <w:rsid w:val="00914820"/>
    <w:rsid w:val="009158B5"/>
    <w:rsid w:val="00916D1C"/>
    <w:rsid w:val="009179FE"/>
    <w:rsid w:val="0092083F"/>
    <w:rsid w:val="00926617"/>
    <w:rsid w:val="00926D0A"/>
    <w:rsid w:val="00930042"/>
    <w:rsid w:val="00930DE8"/>
    <w:rsid w:val="009313EC"/>
    <w:rsid w:val="0093219C"/>
    <w:rsid w:val="00933B8B"/>
    <w:rsid w:val="0093428B"/>
    <w:rsid w:val="00934C72"/>
    <w:rsid w:val="00934F3C"/>
    <w:rsid w:val="0093637F"/>
    <w:rsid w:val="00936E6E"/>
    <w:rsid w:val="00937D5D"/>
    <w:rsid w:val="00940542"/>
    <w:rsid w:val="00940D5A"/>
    <w:rsid w:val="00942E74"/>
    <w:rsid w:val="00943023"/>
    <w:rsid w:val="009434B9"/>
    <w:rsid w:val="00943A1D"/>
    <w:rsid w:val="009443C1"/>
    <w:rsid w:val="00945913"/>
    <w:rsid w:val="009461C2"/>
    <w:rsid w:val="00946E75"/>
    <w:rsid w:val="0094708D"/>
    <w:rsid w:val="009474F5"/>
    <w:rsid w:val="009506E5"/>
    <w:rsid w:val="00951A65"/>
    <w:rsid w:val="0095231B"/>
    <w:rsid w:val="00952DF2"/>
    <w:rsid w:val="009532AD"/>
    <w:rsid w:val="00954F2B"/>
    <w:rsid w:val="0095542F"/>
    <w:rsid w:val="0095565F"/>
    <w:rsid w:val="00957C1A"/>
    <w:rsid w:val="009613D3"/>
    <w:rsid w:val="009633F8"/>
    <w:rsid w:val="009647DF"/>
    <w:rsid w:val="009656D2"/>
    <w:rsid w:val="009657AF"/>
    <w:rsid w:val="00966D1A"/>
    <w:rsid w:val="00967DD6"/>
    <w:rsid w:val="0097142B"/>
    <w:rsid w:val="00971C1A"/>
    <w:rsid w:val="00971C49"/>
    <w:rsid w:val="009720D8"/>
    <w:rsid w:val="00972138"/>
    <w:rsid w:val="009722BA"/>
    <w:rsid w:val="00972E8E"/>
    <w:rsid w:val="0097391E"/>
    <w:rsid w:val="00973D7F"/>
    <w:rsid w:val="00973FCA"/>
    <w:rsid w:val="0097447C"/>
    <w:rsid w:val="00976AB9"/>
    <w:rsid w:val="00976F0C"/>
    <w:rsid w:val="0097780C"/>
    <w:rsid w:val="00980795"/>
    <w:rsid w:val="00981427"/>
    <w:rsid w:val="0098174A"/>
    <w:rsid w:val="00981FB1"/>
    <w:rsid w:val="009828DE"/>
    <w:rsid w:val="00982A90"/>
    <w:rsid w:val="00982AEA"/>
    <w:rsid w:val="00984CF2"/>
    <w:rsid w:val="00986608"/>
    <w:rsid w:val="009867F6"/>
    <w:rsid w:val="00986F47"/>
    <w:rsid w:val="0098718A"/>
    <w:rsid w:val="009906ED"/>
    <w:rsid w:val="00990E3C"/>
    <w:rsid w:val="00993FE7"/>
    <w:rsid w:val="009948B0"/>
    <w:rsid w:val="0099522A"/>
    <w:rsid w:val="0099523E"/>
    <w:rsid w:val="00995418"/>
    <w:rsid w:val="009959D8"/>
    <w:rsid w:val="009964F3"/>
    <w:rsid w:val="0099715E"/>
    <w:rsid w:val="0099739A"/>
    <w:rsid w:val="009A0866"/>
    <w:rsid w:val="009A160C"/>
    <w:rsid w:val="009A1744"/>
    <w:rsid w:val="009A1DFF"/>
    <w:rsid w:val="009A213D"/>
    <w:rsid w:val="009A22A6"/>
    <w:rsid w:val="009A2478"/>
    <w:rsid w:val="009A3D18"/>
    <w:rsid w:val="009A3F89"/>
    <w:rsid w:val="009A4445"/>
    <w:rsid w:val="009A47BD"/>
    <w:rsid w:val="009A4A76"/>
    <w:rsid w:val="009A56DC"/>
    <w:rsid w:val="009A6428"/>
    <w:rsid w:val="009A67D0"/>
    <w:rsid w:val="009A7308"/>
    <w:rsid w:val="009A7497"/>
    <w:rsid w:val="009B06B4"/>
    <w:rsid w:val="009B09F4"/>
    <w:rsid w:val="009B12FD"/>
    <w:rsid w:val="009B1BD9"/>
    <w:rsid w:val="009B2BDC"/>
    <w:rsid w:val="009B2FDE"/>
    <w:rsid w:val="009B378E"/>
    <w:rsid w:val="009B441A"/>
    <w:rsid w:val="009B4AB8"/>
    <w:rsid w:val="009B67BA"/>
    <w:rsid w:val="009B6AD6"/>
    <w:rsid w:val="009C1424"/>
    <w:rsid w:val="009C165C"/>
    <w:rsid w:val="009C1A77"/>
    <w:rsid w:val="009C1D1C"/>
    <w:rsid w:val="009C3870"/>
    <w:rsid w:val="009C3D95"/>
    <w:rsid w:val="009C3FA8"/>
    <w:rsid w:val="009C54CF"/>
    <w:rsid w:val="009C59A8"/>
    <w:rsid w:val="009C5F3F"/>
    <w:rsid w:val="009C63A4"/>
    <w:rsid w:val="009C6586"/>
    <w:rsid w:val="009C6E4E"/>
    <w:rsid w:val="009C7E8B"/>
    <w:rsid w:val="009D0BC0"/>
    <w:rsid w:val="009D1D40"/>
    <w:rsid w:val="009D2519"/>
    <w:rsid w:val="009D348B"/>
    <w:rsid w:val="009D350D"/>
    <w:rsid w:val="009D3CCE"/>
    <w:rsid w:val="009D57D0"/>
    <w:rsid w:val="009D5A26"/>
    <w:rsid w:val="009D5B55"/>
    <w:rsid w:val="009D5F23"/>
    <w:rsid w:val="009D77FF"/>
    <w:rsid w:val="009E0B86"/>
    <w:rsid w:val="009E172D"/>
    <w:rsid w:val="009E2369"/>
    <w:rsid w:val="009E250B"/>
    <w:rsid w:val="009E2919"/>
    <w:rsid w:val="009E3882"/>
    <w:rsid w:val="009E4645"/>
    <w:rsid w:val="009E5534"/>
    <w:rsid w:val="009E6665"/>
    <w:rsid w:val="009E699D"/>
    <w:rsid w:val="009E6BE5"/>
    <w:rsid w:val="009E7222"/>
    <w:rsid w:val="009F00E5"/>
    <w:rsid w:val="009F09EC"/>
    <w:rsid w:val="009F0F77"/>
    <w:rsid w:val="009F1EAB"/>
    <w:rsid w:val="009F2ACD"/>
    <w:rsid w:val="009F33E5"/>
    <w:rsid w:val="009F4E11"/>
    <w:rsid w:val="009F5C15"/>
    <w:rsid w:val="009F6EFF"/>
    <w:rsid w:val="009F74F9"/>
    <w:rsid w:val="009F75E2"/>
    <w:rsid w:val="00A002C9"/>
    <w:rsid w:val="00A01276"/>
    <w:rsid w:val="00A01EC7"/>
    <w:rsid w:val="00A020F2"/>
    <w:rsid w:val="00A027CA"/>
    <w:rsid w:val="00A03DE9"/>
    <w:rsid w:val="00A04B72"/>
    <w:rsid w:val="00A06305"/>
    <w:rsid w:val="00A06610"/>
    <w:rsid w:val="00A0695F"/>
    <w:rsid w:val="00A076CE"/>
    <w:rsid w:val="00A07AB7"/>
    <w:rsid w:val="00A07D77"/>
    <w:rsid w:val="00A11E6E"/>
    <w:rsid w:val="00A12141"/>
    <w:rsid w:val="00A145AC"/>
    <w:rsid w:val="00A14AC1"/>
    <w:rsid w:val="00A14B16"/>
    <w:rsid w:val="00A152C7"/>
    <w:rsid w:val="00A15989"/>
    <w:rsid w:val="00A16569"/>
    <w:rsid w:val="00A1698C"/>
    <w:rsid w:val="00A16FE9"/>
    <w:rsid w:val="00A17456"/>
    <w:rsid w:val="00A208DA"/>
    <w:rsid w:val="00A20927"/>
    <w:rsid w:val="00A20BFD"/>
    <w:rsid w:val="00A21221"/>
    <w:rsid w:val="00A2129F"/>
    <w:rsid w:val="00A2163F"/>
    <w:rsid w:val="00A21D4A"/>
    <w:rsid w:val="00A2217B"/>
    <w:rsid w:val="00A24A8B"/>
    <w:rsid w:val="00A24C5D"/>
    <w:rsid w:val="00A251BF"/>
    <w:rsid w:val="00A25453"/>
    <w:rsid w:val="00A25759"/>
    <w:rsid w:val="00A25A7C"/>
    <w:rsid w:val="00A279F2"/>
    <w:rsid w:val="00A27D25"/>
    <w:rsid w:val="00A30692"/>
    <w:rsid w:val="00A322AE"/>
    <w:rsid w:val="00A330E3"/>
    <w:rsid w:val="00A337B5"/>
    <w:rsid w:val="00A3537F"/>
    <w:rsid w:val="00A35A06"/>
    <w:rsid w:val="00A361F7"/>
    <w:rsid w:val="00A3709C"/>
    <w:rsid w:val="00A3735C"/>
    <w:rsid w:val="00A3743A"/>
    <w:rsid w:val="00A375EE"/>
    <w:rsid w:val="00A400B4"/>
    <w:rsid w:val="00A4056E"/>
    <w:rsid w:val="00A40F6D"/>
    <w:rsid w:val="00A4119E"/>
    <w:rsid w:val="00A415E1"/>
    <w:rsid w:val="00A4161E"/>
    <w:rsid w:val="00A41D84"/>
    <w:rsid w:val="00A42F3A"/>
    <w:rsid w:val="00A43B56"/>
    <w:rsid w:val="00A43EC3"/>
    <w:rsid w:val="00A440DC"/>
    <w:rsid w:val="00A443D7"/>
    <w:rsid w:val="00A455B5"/>
    <w:rsid w:val="00A461B2"/>
    <w:rsid w:val="00A4672B"/>
    <w:rsid w:val="00A46EF7"/>
    <w:rsid w:val="00A47012"/>
    <w:rsid w:val="00A47700"/>
    <w:rsid w:val="00A47A7A"/>
    <w:rsid w:val="00A52A70"/>
    <w:rsid w:val="00A535B2"/>
    <w:rsid w:val="00A54E4E"/>
    <w:rsid w:val="00A55B67"/>
    <w:rsid w:val="00A55C93"/>
    <w:rsid w:val="00A56873"/>
    <w:rsid w:val="00A57B71"/>
    <w:rsid w:val="00A60016"/>
    <w:rsid w:val="00A6031C"/>
    <w:rsid w:val="00A60A64"/>
    <w:rsid w:val="00A62CE6"/>
    <w:rsid w:val="00A62F0A"/>
    <w:rsid w:val="00A635CC"/>
    <w:rsid w:val="00A63812"/>
    <w:rsid w:val="00A6542B"/>
    <w:rsid w:val="00A659F7"/>
    <w:rsid w:val="00A65B0C"/>
    <w:rsid w:val="00A66934"/>
    <w:rsid w:val="00A66BB2"/>
    <w:rsid w:val="00A677FA"/>
    <w:rsid w:val="00A710B0"/>
    <w:rsid w:val="00A7184D"/>
    <w:rsid w:val="00A7463D"/>
    <w:rsid w:val="00A76F86"/>
    <w:rsid w:val="00A778E5"/>
    <w:rsid w:val="00A80E3B"/>
    <w:rsid w:val="00A81FFD"/>
    <w:rsid w:val="00A838E5"/>
    <w:rsid w:val="00A83B05"/>
    <w:rsid w:val="00A842F8"/>
    <w:rsid w:val="00A86F97"/>
    <w:rsid w:val="00A906EE"/>
    <w:rsid w:val="00A90CAC"/>
    <w:rsid w:val="00A918CD"/>
    <w:rsid w:val="00A91A49"/>
    <w:rsid w:val="00A94F0D"/>
    <w:rsid w:val="00A95003"/>
    <w:rsid w:val="00A9653F"/>
    <w:rsid w:val="00A9739D"/>
    <w:rsid w:val="00A97C61"/>
    <w:rsid w:val="00AA253F"/>
    <w:rsid w:val="00AA3723"/>
    <w:rsid w:val="00AA39BD"/>
    <w:rsid w:val="00AA3E26"/>
    <w:rsid w:val="00AA46A3"/>
    <w:rsid w:val="00AA4F98"/>
    <w:rsid w:val="00AA572D"/>
    <w:rsid w:val="00AA5E5F"/>
    <w:rsid w:val="00AA6932"/>
    <w:rsid w:val="00AA735F"/>
    <w:rsid w:val="00AB065D"/>
    <w:rsid w:val="00AB08E6"/>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D39"/>
    <w:rsid w:val="00AC3E18"/>
    <w:rsid w:val="00AC4702"/>
    <w:rsid w:val="00AC4ED7"/>
    <w:rsid w:val="00AC63D1"/>
    <w:rsid w:val="00AC677C"/>
    <w:rsid w:val="00AC68C9"/>
    <w:rsid w:val="00AD111F"/>
    <w:rsid w:val="00AD1FC7"/>
    <w:rsid w:val="00AD2049"/>
    <w:rsid w:val="00AD2A54"/>
    <w:rsid w:val="00AD4162"/>
    <w:rsid w:val="00AD44A7"/>
    <w:rsid w:val="00AD457D"/>
    <w:rsid w:val="00AD45B0"/>
    <w:rsid w:val="00AD562B"/>
    <w:rsid w:val="00AD69D0"/>
    <w:rsid w:val="00AD7618"/>
    <w:rsid w:val="00AD780D"/>
    <w:rsid w:val="00AD7E85"/>
    <w:rsid w:val="00AE1B95"/>
    <w:rsid w:val="00AE23C8"/>
    <w:rsid w:val="00AE245E"/>
    <w:rsid w:val="00AE4161"/>
    <w:rsid w:val="00AE5062"/>
    <w:rsid w:val="00AE6ADA"/>
    <w:rsid w:val="00AE7EA7"/>
    <w:rsid w:val="00AF050C"/>
    <w:rsid w:val="00AF05D1"/>
    <w:rsid w:val="00AF3C3B"/>
    <w:rsid w:val="00AF53D1"/>
    <w:rsid w:val="00AF5592"/>
    <w:rsid w:val="00AF7D55"/>
    <w:rsid w:val="00B0107B"/>
    <w:rsid w:val="00B018E0"/>
    <w:rsid w:val="00B02135"/>
    <w:rsid w:val="00B04F85"/>
    <w:rsid w:val="00B05314"/>
    <w:rsid w:val="00B05597"/>
    <w:rsid w:val="00B068A9"/>
    <w:rsid w:val="00B07019"/>
    <w:rsid w:val="00B07169"/>
    <w:rsid w:val="00B073C4"/>
    <w:rsid w:val="00B079C8"/>
    <w:rsid w:val="00B10652"/>
    <w:rsid w:val="00B10E94"/>
    <w:rsid w:val="00B10F46"/>
    <w:rsid w:val="00B1156A"/>
    <w:rsid w:val="00B11E57"/>
    <w:rsid w:val="00B12BF5"/>
    <w:rsid w:val="00B1307E"/>
    <w:rsid w:val="00B130AC"/>
    <w:rsid w:val="00B133B6"/>
    <w:rsid w:val="00B15770"/>
    <w:rsid w:val="00B16908"/>
    <w:rsid w:val="00B179B8"/>
    <w:rsid w:val="00B17EA9"/>
    <w:rsid w:val="00B17F9C"/>
    <w:rsid w:val="00B20B4A"/>
    <w:rsid w:val="00B20E38"/>
    <w:rsid w:val="00B22106"/>
    <w:rsid w:val="00B2242E"/>
    <w:rsid w:val="00B2316C"/>
    <w:rsid w:val="00B24298"/>
    <w:rsid w:val="00B24C67"/>
    <w:rsid w:val="00B24DA7"/>
    <w:rsid w:val="00B26145"/>
    <w:rsid w:val="00B2662F"/>
    <w:rsid w:val="00B272E5"/>
    <w:rsid w:val="00B30931"/>
    <w:rsid w:val="00B31096"/>
    <w:rsid w:val="00B31B90"/>
    <w:rsid w:val="00B31D9B"/>
    <w:rsid w:val="00B31F66"/>
    <w:rsid w:val="00B32A2A"/>
    <w:rsid w:val="00B332C0"/>
    <w:rsid w:val="00B3393D"/>
    <w:rsid w:val="00B33E9A"/>
    <w:rsid w:val="00B3460C"/>
    <w:rsid w:val="00B34D9F"/>
    <w:rsid w:val="00B363F9"/>
    <w:rsid w:val="00B367AA"/>
    <w:rsid w:val="00B36A67"/>
    <w:rsid w:val="00B36A8A"/>
    <w:rsid w:val="00B36C33"/>
    <w:rsid w:val="00B3714D"/>
    <w:rsid w:val="00B374C0"/>
    <w:rsid w:val="00B37A45"/>
    <w:rsid w:val="00B40521"/>
    <w:rsid w:val="00B406F6"/>
    <w:rsid w:val="00B412FC"/>
    <w:rsid w:val="00B41743"/>
    <w:rsid w:val="00B41FD4"/>
    <w:rsid w:val="00B42122"/>
    <w:rsid w:val="00B43C59"/>
    <w:rsid w:val="00B442C8"/>
    <w:rsid w:val="00B458E5"/>
    <w:rsid w:val="00B461F1"/>
    <w:rsid w:val="00B475D1"/>
    <w:rsid w:val="00B47ACC"/>
    <w:rsid w:val="00B50369"/>
    <w:rsid w:val="00B52476"/>
    <w:rsid w:val="00B52E20"/>
    <w:rsid w:val="00B53AEC"/>
    <w:rsid w:val="00B5684B"/>
    <w:rsid w:val="00B571FB"/>
    <w:rsid w:val="00B60171"/>
    <w:rsid w:val="00B60667"/>
    <w:rsid w:val="00B60771"/>
    <w:rsid w:val="00B60F19"/>
    <w:rsid w:val="00B61385"/>
    <w:rsid w:val="00B6298D"/>
    <w:rsid w:val="00B63F66"/>
    <w:rsid w:val="00B652AB"/>
    <w:rsid w:val="00B66CD4"/>
    <w:rsid w:val="00B67093"/>
    <w:rsid w:val="00B7034B"/>
    <w:rsid w:val="00B70D6A"/>
    <w:rsid w:val="00B71DE1"/>
    <w:rsid w:val="00B72EEA"/>
    <w:rsid w:val="00B733D1"/>
    <w:rsid w:val="00B73833"/>
    <w:rsid w:val="00B73DD8"/>
    <w:rsid w:val="00B74A2F"/>
    <w:rsid w:val="00B7627B"/>
    <w:rsid w:val="00B76646"/>
    <w:rsid w:val="00B77B3A"/>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4CC2"/>
    <w:rsid w:val="00B9514F"/>
    <w:rsid w:val="00B9589B"/>
    <w:rsid w:val="00B95FEE"/>
    <w:rsid w:val="00B96C62"/>
    <w:rsid w:val="00B97256"/>
    <w:rsid w:val="00B9777B"/>
    <w:rsid w:val="00BA10A3"/>
    <w:rsid w:val="00BA1854"/>
    <w:rsid w:val="00BA1B76"/>
    <w:rsid w:val="00BA227D"/>
    <w:rsid w:val="00BA22C7"/>
    <w:rsid w:val="00BA2FCB"/>
    <w:rsid w:val="00BA34B1"/>
    <w:rsid w:val="00BA4CE0"/>
    <w:rsid w:val="00BA4E15"/>
    <w:rsid w:val="00BA4F87"/>
    <w:rsid w:val="00BA57C0"/>
    <w:rsid w:val="00BA6430"/>
    <w:rsid w:val="00BA7FCC"/>
    <w:rsid w:val="00BB00DE"/>
    <w:rsid w:val="00BB04AB"/>
    <w:rsid w:val="00BB2346"/>
    <w:rsid w:val="00BB274A"/>
    <w:rsid w:val="00BB2926"/>
    <w:rsid w:val="00BB31E5"/>
    <w:rsid w:val="00BB39AE"/>
    <w:rsid w:val="00BB4078"/>
    <w:rsid w:val="00BB51C3"/>
    <w:rsid w:val="00BB5767"/>
    <w:rsid w:val="00BB6824"/>
    <w:rsid w:val="00BB70D8"/>
    <w:rsid w:val="00BB710A"/>
    <w:rsid w:val="00BB71D3"/>
    <w:rsid w:val="00BC01A3"/>
    <w:rsid w:val="00BC11F1"/>
    <w:rsid w:val="00BC26CE"/>
    <w:rsid w:val="00BC2E32"/>
    <w:rsid w:val="00BC2EBF"/>
    <w:rsid w:val="00BC2F4C"/>
    <w:rsid w:val="00BC45E3"/>
    <w:rsid w:val="00BC46E3"/>
    <w:rsid w:val="00BC482C"/>
    <w:rsid w:val="00BC544A"/>
    <w:rsid w:val="00BC60F0"/>
    <w:rsid w:val="00BC6292"/>
    <w:rsid w:val="00BC6D0D"/>
    <w:rsid w:val="00BC6D25"/>
    <w:rsid w:val="00BC728A"/>
    <w:rsid w:val="00BC757F"/>
    <w:rsid w:val="00BD0E56"/>
    <w:rsid w:val="00BD2120"/>
    <w:rsid w:val="00BD431A"/>
    <w:rsid w:val="00BD43EE"/>
    <w:rsid w:val="00BD46FD"/>
    <w:rsid w:val="00BD4D84"/>
    <w:rsid w:val="00BD52AE"/>
    <w:rsid w:val="00BD56D7"/>
    <w:rsid w:val="00BD5D3F"/>
    <w:rsid w:val="00BD753B"/>
    <w:rsid w:val="00BD7BBB"/>
    <w:rsid w:val="00BD7DF4"/>
    <w:rsid w:val="00BE05CB"/>
    <w:rsid w:val="00BE0AB3"/>
    <w:rsid w:val="00BE1791"/>
    <w:rsid w:val="00BE2181"/>
    <w:rsid w:val="00BE2681"/>
    <w:rsid w:val="00BE2BE3"/>
    <w:rsid w:val="00BE3B16"/>
    <w:rsid w:val="00BE4428"/>
    <w:rsid w:val="00BE6D62"/>
    <w:rsid w:val="00BE6F56"/>
    <w:rsid w:val="00BE7406"/>
    <w:rsid w:val="00BE796E"/>
    <w:rsid w:val="00BF01C0"/>
    <w:rsid w:val="00BF0828"/>
    <w:rsid w:val="00BF0EC1"/>
    <w:rsid w:val="00BF191E"/>
    <w:rsid w:val="00BF1C70"/>
    <w:rsid w:val="00BF2355"/>
    <w:rsid w:val="00BF5766"/>
    <w:rsid w:val="00BF5A89"/>
    <w:rsid w:val="00BF6335"/>
    <w:rsid w:val="00C003B8"/>
    <w:rsid w:val="00C007A7"/>
    <w:rsid w:val="00C00AF2"/>
    <w:rsid w:val="00C01156"/>
    <w:rsid w:val="00C01959"/>
    <w:rsid w:val="00C02196"/>
    <w:rsid w:val="00C0242D"/>
    <w:rsid w:val="00C02BD2"/>
    <w:rsid w:val="00C03A02"/>
    <w:rsid w:val="00C064DF"/>
    <w:rsid w:val="00C0684E"/>
    <w:rsid w:val="00C07867"/>
    <w:rsid w:val="00C07975"/>
    <w:rsid w:val="00C079F6"/>
    <w:rsid w:val="00C10410"/>
    <w:rsid w:val="00C11634"/>
    <w:rsid w:val="00C121E9"/>
    <w:rsid w:val="00C131A2"/>
    <w:rsid w:val="00C13777"/>
    <w:rsid w:val="00C13AAA"/>
    <w:rsid w:val="00C13EE8"/>
    <w:rsid w:val="00C14424"/>
    <w:rsid w:val="00C14E11"/>
    <w:rsid w:val="00C15130"/>
    <w:rsid w:val="00C154E0"/>
    <w:rsid w:val="00C15E97"/>
    <w:rsid w:val="00C1745B"/>
    <w:rsid w:val="00C2031B"/>
    <w:rsid w:val="00C2068C"/>
    <w:rsid w:val="00C2294C"/>
    <w:rsid w:val="00C22A63"/>
    <w:rsid w:val="00C2325B"/>
    <w:rsid w:val="00C2521A"/>
    <w:rsid w:val="00C25BD8"/>
    <w:rsid w:val="00C2677C"/>
    <w:rsid w:val="00C26FD0"/>
    <w:rsid w:val="00C273A7"/>
    <w:rsid w:val="00C27A4F"/>
    <w:rsid w:val="00C30115"/>
    <w:rsid w:val="00C30201"/>
    <w:rsid w:val="00C304F0"/>
    <w:rsid w:val="00C30EA7"/>
    <w:rsid w:val="00C313A4"/>
    <w:rsid w:val="00C31F06"/>
    <w:rsid w:val="00C31F55"/>
    <w:rsid w:val="00C31FFF"/>
    <w:rsid w:val="00C3250A"/>
    <w:rsid w:val="00C32C31"/>
    <w:rsid w:val="00C32D3E"/>
    <w:rsid w:val="00C32F15"/>
    <w:rsid w:val="00C33509"/>
    <w:rsid w:val="00C3372D"/>
    <w:rsid w:val="00C337E7"/>
    <w:rsid w:val="00C340E5"/>
    <w:rsid w:val="00C34B21"/>
    <w:rsid w:val="00C358F2"/>
    <w:rsid w:val="00C35959"/>
    <w:rsid w:val="00C36DC2"/>
    <w:rsid w:val="00C419A3"/>
    <w:rsid w:val="00C41C39"/>
    <w:rsid w:val="00C42068"/>
    <w:rsid w:val="00C42C45"/>
    <w:rsid w:val="00C43381"/>
    <w:rsid w:val="00C436FE"/>
    <w:rsid w:val="00C437BC"/>
    <w:rsid w:val="00C43D2B"/>
    <w:rsid w:val="00C44742"/>
    <w:rsid w:val="00C46206"/>
    <w:rsid w:val="00C46570"/>
    <w:rsid w:val="00C4696E"/>
    <w:rsid w:val="00C474CB"/>
    <w:rsid w:val="00C47932"/>
    <w:rsid w:val="00C47CBF"/>
    <w:rsid w:val="00C52152"/>
    <w:rsid w:val="00C54284"/>
    <w:rsid w:val="00C548CB"/>
    <w:rsid w:val="00C54EF2"/>
    <w:rsid w:val="00C56966"/>
    <w:rsid w:val="00C56B56"/>
    <w:rsid w:val="00C57D84"/>
    <w:rsid w:val="00C57F07"/>
    <w:rsid w:val="00C61275"/>
    <w:rsid w:val="00C61324"/>
    <w:rsid w:val="00C62A2F"/>
    <w:rsid w:val="00C62CCB"/>
    <w:rsid w:val="00C63576"/>
    <w:rsid w:val="00C6413D"/>
    <w:rsid w:val="00C64278"/>
    <w:rsid w:val="00C64B96"/>
    <w:rsid w:val="00C65BF5"/>
    <w:rsid w:val="00C676FF"/>
    <w:rsid w:val="00C7021D"/>
    <w:rsid w:val="00C707F4"/>
    <w:rsid w:val="00C711CA"/>
    <w:rsid w:val="00C7183E"/>
    <w:rsid w:val="00C72DB4"/>
    <w:rsid w:val="00C751B0"/>
    <w:rsid w:val="00C753E0"/>
    <w:rsid w:val="00C77178"/>
    <w:rsid w:val="00C77940"/>
    <w:rsid w:val="00C811F5"/>
    <w:rsid w:val="00C8271B"/>
    <w:rsid w:val="00C8297D"/>
    <w:rsid w:val="00C83050"/>
    <w:rsid w:val="00C84390"/>
    <w:rsid w:val="00C84A21"/>
    <w:rsid w:val="00C87F13"/>
    <w:rsid w:val="00C87FEB"/>
    <w:rsid w:val="00C91077"/>
    <w:rsid w:val="00C915BC"/>
    <w:rsid w:val="00C915F3"/>
    <w:rsid w:val="00C920BE"/>
    <w:rsid w:val="00C92391"/>
    <w:rsid w:val="00C92937"/>
    <w:rsid w:val="00C93576"/>
    <w:rsid w:val="00C94D69"/>
    <w:rsid w:val="00C95239"/>
    <w:rsid w:val="00C96CCF"/>
    <w:rsid w:val="00CA0854"/>
    <w:rsid w:val="00CA097A"/>
    <w:rsid w:val="00CA0B3A"/>
    <w:rsid w:val="00CA1B9E"/>
    <w:rsid w:val="00CA1E59"/>
    <w:rsid w:val="00CA38EF"/>
    <w:rsid w:val="00CA3FE6"/>
    <w:rsid w:val="00CA5C25"/>
    <w:rsid w:val="00CB077B"/>
    <w:rsid w:val="00CB088F"/>
    <w:rsid w:val="00CB0918"/>
    <w:rsid w:val="00CB0F16"/>
    <w:rsid w:val="00CB0F45"/>
    <w:rsid w:val="00CB175E"/>
    <w:rsid w:val="00CB218C"/>
    <w:rsid w:val="00CB241A"/>
    <w:rsid w:val="00CB25A6"/>
    <w:rsid w:val="00CB346E"/>
    <w:rsid w:val="00CB3A30"/>
    <w:rsid w:val="00CB48B8"/>
    <w:rsid w:val="00CB4FD5"/>
    <w:rsid w:val="00CB5072"/>
    <w:rsid w:val="00CB530F"/>
    <w:rsid w:val="00CB5B3E"/>
    <w:rsid w:val="00CB6236"/>
    <w:rsid w:val="00CB6C40"/>
    <w:rsid w:val="00CB731B"/>
    <w:rsid w:val="00CB77BF"/>
    <w:rsid w:val="00CB7892"/>
    <w:rsid w:val="00CB794F"/>
    <w:rsid w:val="00CB7E36"/>
    <w:rsid w:val="00CC3682"/>
    <w:rsid w:val="00CC39A0"/>
    <w:rsid w:val="00CC3BE4"/>
    <w:rsid w:val="00CC3F20"/>
    <w:rsid w:val="00CC40AD"/>
    <w:rsid w:val="00CC6A99"/>
    <w:rsid w:val="00CC7624"/>
    <w:rsid w:val="00CC793F"/>
    <w:rsid w:val="00CD2B38"/>
    <w:rsid w:val="00CD2D45"/>
    <w:rsid w:val="00CD467F"/>
    <w:rsid w:val="00CD6DD8"/>
    <w:rsid w:val="00CD7644"/>
    <w:rsid w:val="00CD7C9C"/>
    <w:rsid w:val="00CD7D5F"/>
    <w:rsid w:val="00CE05BC"/>
    <w:rsid w:val="00CE1493"/>
    <w:rsid w:val="00CE2709"/>
    <w:rsid w:val="00CE2A7D"/>
    <w:rsid w:val="00CE510B"/>
    <w:rsid w:val="00CE53CD"/>
    <w:rsid w:val="00CE5B0C"/>
    <w:rsid w:val="00CE67D7"/>
    <w:rsid w:val="00CE6957"/>
    <w:rsid w:val="00CE70CF"/>
    <w:rsid w:val="00CE7774"/>
    <w:rsid w:val="00CE7DBA"/>
    <w:rsid w:val="00CF1DFC"/>
    <w:rsid w:val="00CF3DF8"/>
    <w:rsid w:val="00CF443F"/>
    <w:rsid w:val="00CF4571"/>
    <w:rsid w:val="00CF655F"/>
    <w:rsid w:val="00CF65DA"/>
    <w:rsid w:val="00CF6EF5"/>
    <w:rsid w:val="00D0229D"/>
    <w:rsid w:val="00D03376"/>
    <w:rsid w:val="00D03619"/>
    <w:rsid w:val="00D03F61"/>
    <w:rsid w:val="00D05C42"/>
    <w:rsid w:val="00D06242"/>
    <w:rsid w:val="00D0637B"/>
    <w:rsid w:val="00D06695"/>
    <w:rsid w:val="00D0768D"/>
    <w:rsid w:val="00D106F1"/>
    <w:rsid w:val="00D10BE1"/>
    <w:rsid w:val="00D10CCD"/>
    <w:rsid w:val="00D14E73"/>
    <w:rsid w:val="00D15404"/>
    <w:rsid w:val="00D15CEF"/>
    <w:rsid w:val="00D16619"/>
    <w:rsid w:val="00D20392"/>
    <w:rsid w:val="00D20570"/>
    <w:rsid w:val="00D2211E"/>
    <w:rsid w:val="00D2272A"/>
    <w:rsid w:val="00D2311C"/>
    <w:rsid w:val="00D25D52"/>
    <w:rsid w:val="00D261B0"/>
    <w:rsid w:val="00D261DB"/>
    <w:rsid w:val="00D265A5"/>
    <w:rsid w:val="00D268F5"/>
    <w:rsid w:val="00D26B0C"/>
    <w:rsid w:val="00D26BA5"/>
    <w:rsid w:val="00D27804"/>
    <w:rsid w:val="00D27ABC"/>
    <w:rsid w:val="00D30B09"/>
    <w:rsid w:val="00D31F18"/>
    <w:rsid w:val="00D33196"/>
    <w:rsid w:val="00D33A14"/>
    <w:rsid w:val="00D33D47"/>
    <w:rsid w:val="00D33E32"/>
    <w:rsid w:val="00D35049"/>
    <w:rsid w:val="00D353E4"/>
    <w:rsid w:val="00D35868"/>
    <w:rsid w:val="00D362CB"/>
    <w:rsid w:val="00D373A6"/>
    <w:rsid w:val="00D375F7"/>
    <w:rsid w:val="00D4075D"/>
    <w:rsid w:val="00D4192D"/>
    <w:rsid w:val="00D43236"/>
    <w:rsid w:val="00D43E7F"/>
    <w:rsid w:val="00D44351"/>
    <w:rsid w:val="00D44911"/>
    <w:rsid w:val="00D4659A"/>
    <w:rsid w:val="00D46A8B"/>
    <w:rsid w:val="00D4734E"/>
    <w:rsid w:val="00D50E5B"/>
    <w:rsid w:val="00D512E0"/>
    <w:rsid w:val="00D5182D"/>
    <w:rsid w:val="00D51C82"/>
    <w:rsid w:val="00D528A5"/>
    <w:rsid w:val="00D52B35"/>
    <w:rsid w:val="00D5403D"/>
    <w:rsid w:val="00D54B45"/>
    <w:rsid w:val="00D5707B"/>
    <w:rsid w:val="00D57412"/>
    <w:rsid w:val="00D574A6"/>
    <w:rsid w:val="00D602CE"/>
    <w:rsid w:val="00D603CE"/>
    <w:rsid w:val="00D60605"/>
    <w:rsid w:val="00D60D3F"/>
    <w:rsid w:val="00D615FE"/>
    <w:rsid w:val="00D636F8"/>
    <w:rsid w:val="00D64029"/>
    <w:rsid w:val="00D640A0"/>
    <w:rsid w:val="00D64474"/>
    <w:rsid w:val="00D64A46"/>
    <w:rsid w:val="00D64DCE"/>
    <w:rsid w:val="00D64E61"/>
    <w:rsid w:val="00D64E99"/>
    <w:rsid w:val="00D66219"/>
    <w:rsid w:val="00D662CC"/>
    <w:rsid w:val="00D676BE"/>
    <w:rsid w:val="00D67D2D"/>
    <w:rsid w:val="00D67F0E"/>
    <w:rsid w:val="00D703C5"/>
    <w:rsid w:val="00D71D9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BD3"/>
    <w:rsid w:val="00D84C8C"/>
    <w:rsid w:val="00D84D1F"/>
    <w:rsid w:val="00D851E0"/>
    <w:rsid w:val="00D85219"/>
    <w:rsid w:val="00D85612"/>
    <w:rsid w:val="00D85EFD"/>
    <w:rsid w:val="00D864CD"/>
    <w:rsid w:val="00D87D18"/>
    <w:rsid w:val="00D9018C"/>
    <w:rsid w:val="00D901FB"/>
    <w:rsid w:val="00D9132E"/>
    <w:rsid w:val="00D91BFD"/>
    <w:rsid w:val="00D939AA"/>
    <w:rsid w:val="00D9757E"/>
    <w:rsid w:val="00D9764F"/>
    <w:rsid w:val="00D97A89"/>
    <w:rsid w:val="00DA0244"/>
    <w:rsid w:val="00DA0303"/>
    <w:rsid w:val="00DA0B74"/>
    <w:rsid w:val="00DA0C09"/>
    <w:rsid w:val="00DA12A0"/>
    <w:rsid w:val="00DA1881"/>
    <w:rsid w:val="00DA2FCC"/>
    <w:rsid w:val="00DA34D6"/>
    <w:rsid w:val="00DA3647"/>
    <w:rsid w:val="00DA38F6"/>
    <w:rsid w:val="00DA3D0E"/>
    <w:rsid w:val="00DA41AA"/>
    <w:rsid w:val="00DA4395"/>
    <w:rsid w:val="00DA506C"/>
    <w:rsid w:val="00DA5D4A"/>
    <w:rsid w:val="00DA7294"/>
    <w:rsid w:val="00DB36EF"/>
    <w:rsid w:val="00DB6CCD"/>
    <w:rsid w:val="00DB7010"/>
    <w:rsid w:val="00DB750E"/>
    <w:rsid w:val="00DC04D8"/>
    <w:rsid w:val="00DC0887"/>
    <w:rsid w:val="00DC0BA9"/>
    <w:rsid w:val="00DC20BE"/>
    <w:rsid w:val="00DC2D6B"/>
    <w:rsid w:val="00DC37A0"/>
    <w:rsid w:val="00DC384E"/>
    <w:rsid w:val="00DC393B"/>
    <w:rsid w:val="00DC3A8B"/>
    <w:rsid w:val="00DC44F8"/>
    <w:rsid w:val="00DC4812"/>
    <w:rsid w:val="00DC5D8D"/>
    <w:rsid w:val="00DC692C"/>
    <w:rsid w:val="00DC6F2B"/>
    <w:rsid w:val="00DD11E4"/>
    <w:rsid w:val="00DD14C2"/>
    <w:rsid w:val="00DD1669"/>
    <w:rsid w:val="00DD1794"/>
    <w:rsid w:val="00DD17AC"/>
    <w:rsid w:val="00DD1E1B"/>
    <w:rsid w:val="00DD2B3A"/>
    <w:rsid w:val="00DD3BE4"/>
    <w:rsid w:val="00DD4406"/>
    <w:rsid w:val="00DD454B"/>
    <w:rsid w:val="00DD47E9"/>
    <w:rsid w:val="00DD4A2A"/>
    <w:rsid w:val="00DD5628"/>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E7D75"/>
    <w:rsid w:val="00DF0656"/>
    <w:rsid w:val="00DF0C43"/>
    <w:rsid w:val="00DF0F21"/>
    <w:rsid w:val="00DF2742"/>
    <w:rsid w:val="00DF27EE"/>
    <w:rsid w:val="00DF33EA"/>
    <w:rsid w:val="00DF3AB5"/>
    <w:rsid w:val="00DF407E"/>
    <w:rsid w:val="00DF4466"/>
    <w:rsid w:val="00DF5053"/>
    <w:rsid w:val="00DF55C4"/>
    <w:rsid w:val="00DF5FBC"/>
    <w:rsid w:val="00DF69E2"/>
    <w:rsid w:val="00DF6A3C"/>
    <w:rsid w:val="00DF70E5"/>
    <w:rsid w:val="00DF74F3"/>
    <w:rsid w:val="00DF758E"/>
    <w:rsid w:val="00DF7AC0"/>
    <w:rsid w:val="00E00E89"/>
    <w:rsid w:val="00E024C2"/>
    <w:rsid w:val="00E029E7"/>
    <w:rsid w:val="00E02AA1"/>
    <w:rsid w:val="00E02D92"/>
    <w:rsid w:val="00E03053"/>
    <w:rsid w:val="00E03240"/>
    <w:rsid w:val="00E0339C"/>
    <w:rsid w:val="00E04516"/>
    <w:rsid w:val="00E04988"/>
    <w:rsid w:val="00E05762"/>
    <w:rsid w:val="00E059AC"/>
    <w:rsid w:val="00E05DF5"/>
    <w:rsid w:val="00E066D8"/>
    <w:rsid w:val="00E069E3"/>
    <w:rsid w:val="00E06D7D"/>
    <w:rsid w:val="00E11798"/>
    <w:rsid w:val="00E11E19"/>
    <w:rsid w:val="00E12FA8"/>
    <w:rsid w:val="00E1379E"/>
    <w:rsid w:val="00E1584E"/>
    <w:rsid w:val="00E15AE7"/>
    <w:rsid w:val="00E16AE3"/>
    <w:rsid w:val="00E16EE4"/>
    <w:rsid w:val="00E16F16"/>
    <w:rsid w:val="00E17314"/>
    <w:rsid w:val="00E17839"/>
    <w:rsid w:val="00E2001A"/>
    <w:rsid w:val="00E20051"/>
    <w:rsid w:val="00E209EB"/>
    <w:rsid w:val="00E22B0D"/>
    <w:rsid w:val="00E23776"/>
    <w:rsid w:val="00E239E3"/>
    <w:rsid w:val="00E246CB"/>
    <w:rsid w:val="00E24DA7"/>
    <w:rsid w:val="00E30A24"/>
    <w:rsid w:val="00E31617"/>
    <w:rsid w:val="00E31B32"/>
    <w:rsid w:val="00E31DF3"/>
    <w:rsid w:val="00E31EF6"/>
    <w:rsid w:val="00E32671"/>
    <w:rsid w:val="00E32F65"/>
    <w:rsid w:val="00E34399"/>
    <w:rsid w:val="00E34436"/>
    <w:rsid w:val="00E35F86"/>
    <w:rsid w:val="00E3770B"/>
    <w:rsid w:val="00E403FC"/>
    <w:rsid w:val="00E4133A"/>
    <w:rsid w:val="00E41442"/>
    <w:rsid w:val="00E4161B"/>
    <w:rsid w:val="00E41A19"/>
    <w:rsid w:val="00E42445"/>
    <w:rsid w:val="00E437E7"/>
    <w:rsid w:val="00E4434F"/>
    <w:rsid w:val="00E450DB"/>
    <w:rsid w:val="00E457EC"/>
    <w:rsid w:val="00E47B2A"/>
    <w:rsid w:val="00E50392"/>
    <w:rsid w:val="00E506B6"/>
    <w:rsid w:val="00E50CE8"/>
    <w:rsid w:val="00E5147F"/>
    <w:rsid w:val="00E51C64"/>
    <w:rsid w:val="00E525E0"/>
    <w:rsid w:val="00E5341A"/>
    <w:rsid w:val="00E5439C"/>
    <w:rsid w:val="00E54928"/>
    <w:rsid w:val="00E552F2"/>
    <w:rsid w:val="00E5617F"/>
    <w:rsid w:val="00E5698F"/>
    <w:rsid w:val="00E5727A"/>
    <w:rsid w:val="00E61C67"/>
    <w:rsid w:val="00E62048"/>
    <w:rsid w:val="00E63B06"/>
    <w:rsid w:val="00E64B2F"/>
    <w:rsid w:val="00E65043"/>
    <w:rsid w:val="00E65951"/>
    <w:rsid w:val="00E6785A"/>
    <w:rsid w:val="00E67880"/>
    <w:rsid w:val="00E70CD8"/>
    <w:rsid w:val="00E7111A"/>
    <w:rsid w:val="00E71D9A"/>
    <w:rsid w:val="00E7276D"/>
    <w:rsid w:val="00E73323"/>
    <w:rsid w:val="00E74330"/>
    <w:rsid w:val="00E748E5"/>
    <w:rsid w:val="00E7491B"/>
    <w:rsid w:val="00E75AEB"/>
    <w:rsid w:val="00E775E1"/>
    <w:rsid w:val="00E77F50"/>
    <w:rsid w:val="00E81647"/>
    <w:rsid w:val="00E828A9"/>
    <w:rsid w:val="00E82A03"/>
    <w:rsid w:val="00E83001"/>
    <w:rsid w:val="00E848E7"/>
    <w:rsid w:val="00E85D5E"/>
    <w:rsid w:val="00E860BD"/>
    <w:rsid w:val="00E8623F"/>
    <w:rsid w:val="00E8646A"/>
    <w:rsid w:val="00E86F26"/>
    <w:rsid w:val="00E920F6"/>
    <w:rsid w:val="00E9353F"/>
    <w:rsid w:val="00E94DEF"/>
    <w:rsid w:val="00E95A52"/>
    <w:rsid w:val="00E96155"/>
    <w:rsid w:val="00E969B9"/>
    <w:rsid w:val="00E97874"/>
    <w:rsid w:val="00E97CB2"/>
    <w:rsid w:val="00E97E6E"/>
    <w:rsid w:val="00EA18AF"/>
    <w:rsid w:val="00EA3ECD"/>
    <w:rsid w:val="00EA4496"/>
    <w:rsid w:val="00EA5671"/>
    <w:rsid w:val="00EA59C7"/>
    <w:rsid w:val="00EA5E2E"/>
    <w:rsid w:val="00EA608A"/>
    <w:rsid w:val="00EA664C"/>
    <w:rsid w:val="00EA6815"/>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B6FA4"/>
    <w:rsid w:val="00EC07BE"/>
    <w:rsid w:val="00EC23C7"/>
    <w:rsid w:val="00EC308A"/>
    <w:rsid w:val="00EC5EF1"/>
    <w:rsid w:val="00EC640E"/>
    <w:rsid w:val="00EC6B84"/>
    <w:rsid w:val="00EC70E6"/>
    <w:rsid w:val="00EC7509"/>
    <w:rsid w:val="00EC7A11"/>
    <w:rsid w:val="00EC7CAA"/>
    <w:rsid w:val="00EC7DBD"/>
    <w:rsid w:val="00EC7E5B"/>
    <w:rsid w:val="00EC7F2E"/>
    <w:rsid w:val="00ED15F7"/>
    <w:rsid w:val="00ED22ED"/>
    <w:rsid w:val="00ED3371"/>
    <w:rsid w:val="00ED39A8"/>
    <w:rsid w:val="00ED46BB"/>
    <w:rsid w:val="00ED4842"/>
    <w:rsid w:val="00ED4F29"/>
    <w:rsid w:val="00ED573F"/>
    <w:rsid w:val="00ED5C52"/>
    <w:rsid w:val="00ED5FCC"/>
    <w:rsid w:val="00ED72B8"/>
    <w:rsid w:val="00ED78C0"/>
    <w:rsid w:val="00EE0981"/>
    <w:rsid w:val="00EE0F5D"/>
    <w:rsid w:val="00EE0F74"/>
    <w:rsid w:val="00EE2D71"/>
    <w:rsid w:val="00EE2FD4"/>
    <w:rsid w:val="00EE3B83"/>
    <w:rsid w:val="00EE5AD4"/>
    <w:rsid w:val="00EE5D95"/>
    <w:rsid w:val="00EE694F"/>
    <w:rsid w:val="00EE72F2"/>
    <w:rsid w:val="00EF0CD7"/>
    <w:rsid w:val="00EF28FD"/>
    <w:rsid w:val="00EF29A0"/>
    <w:rsid w:val="00EF370C"/>
    <w:rsid w:val="00EF501A"/>
    <w:rsid w:val="00EF5314"/>
    <w:rsid w:val="00EF6EAD"/>
    <w:rsid w:val="00EF7C8D"/>
    <w:rsid w:val="00F00033"/>
    <w:rsid w:val="00F006C2"/>
    <w:rsid w:val="00F0112D"/>
    <w:rsid w:val="00F015CB"/>
    <w:rsid w:val="00F0211C"/>
    <w:rsid w:val="00F0230A"/>
    <w:rsid w:val="00F02375"/>
    <w:rsid w:val="00F02C8B"/>
    <w:rsid w:val="00F02CBF"/>
    <w:rsid w:val="00F03B13"/>
    <w:rsid w:val="00F0418A"/>
    <w:rsid w:val="00F05BE6"/>
    <w:rsid w:val="00F06485"/>
    <w:rsid w:val="00F06BD8"/>
    <w:rsid w:val="00F07AB2"/>
    <w:rsid w:val="00F106A6"/>
    <w:rsid w:val="00F10E58"/>
    <w:rsid w:val="00F115DB"/>
    <w:rsid w:val="00F1269D"/>
    <w:rsid w:val="00F12AE2"/>
    <w:rsid w:val="00F12BA8"/>
    <w:rsid w:val="00F12C12"/>
    <w:rsid w:val="00F132BB"/>
    <w:rsid w:val="00F14579"/>
    <w:rsid w:val="00F152CB"/>
    <w:rsid w:val="00F15A00"/>
    <w:rsid w:val="00F15B6D"/>
    <w:rsid w:val="00F15E0C"/>
    <w:rsid w:val="00F15E9C"/>
    <w:rsid w:val="00F15F9B"/>
    <w:rsid w:val="00F16657"/>
    <w:rsid w:val="00F17590"/>
    <w:rsid w:val="00F17B82"/>
    <w:rsid w:val="00F2038C"/>
    <w:rsid w:val="00F2045B"/>
    <w:rsid w:val="00F2068D"/>
    <w:rsid w:val="00F20869"/>
    <w:rsid w:val="00F2195C"/>
    <w:rsid w:val="00F23C10"/>
    <w:rsid w:val="00F251D8"/>
    <w:rsid w:val="00F25AF6"/>
    <w:rsid w:val="00F267B6"/>
    <w:rsid w:val="00F268AC"/>
    <w:rsid w:val="00F26F66"/>
    <w:rsid w:val="00F30805"/>
    <w:rsid w:val="00F30FD0"/>
    <w:rsid w:val="00F34040"/>
    <w:rsid w:val="00F35369"/>
    <w:rsid w:val="00F3608D"/>
    <w:rsid w:val="00F36132"/>
    <w:rsid w:val="00F36F47"/>
    <w:rsid w:val="00F40490"/>
    <w:rsid w:val="00F4110D"/>
    <w:rsid w:val="00F41427"/>
    <w:rsid w:val="00F41FD5"/>
    <w:rsid w:val="00F42CF5"/>
    <w:rsid w:val="00F43723"/>
    <w:rsid w:val="00F43826"/>
    <w:rsid w:val="00F45A22"/>
    <w:rsid w:val="00F45C95"/>
    <w:rsid w:val="00F45FA3"/>
    <w:rsid w:val="00F471ED"/>
    <w:rsid w:val="00F4785D"/>
    <w:rsid w:val="00F50030"/>
    <w:rsid w:val="00F5034C"/>
    <w:rsid w:val="00F5113D"/>
    <w:rsid w:val="00F51365"/>
    <w:rsid w:val="00F51F79"/>
    <w:rsid w:val="00F527E9"/>
    <w:rsid w:val="00F528D9"/>
    <w:rsid w:val="00F52928"/>
    <w:rsid w:val="00F53004"/>
    <w:rsid w:val="00F53B48"/>
    <w:rsid w:val="00F5417F"/>
    <w:rsid w:val="00F549FC"/>
    <w:rsid w:val="00F54BEA"/>
    <w:rsid w:val="00F5550E"/>
    <w:rsid w:val="00F55589"/>
    <w:rsid w:val="00F55A6C"/>
    <w:rsid w:val="00F5648C"/>
    <w:rsid w:val="00F564BC"/>
    <w:rsid w:val="00F5676C"/>
    <w:rsid w:val="00F57747"/>
    <w:rsid w:val="00F60928"/>
    <w:rsid w:val="00F60C2D"/>
    <w:rsid w:val="00F60D04"/>
    <w:rsid w:val="00F61D7B"/>
    <w:rsid w:val="00F628FE"/>
    <w:rsid w:val="00F63176"/>
    <w:rsid w:val="00F658BC"/>
    <w:rsid w:val="00F67BC9"/>
    <w:rsid w:val="00F701B7"/>
    <w:rsid w:val="00F71084"/>
    <w:rsid w:val="00F719DD"/>
    <w:rsid w:val="00F71B8F"/>
    <w:rsid w:val="00F72A1C"/>
    <w:rsid w:val="00F73D2B"/>
    <w:rsid w:val="00F755CE"/>
    <w:rsid w:val="00F7656A"/>
    <w:rsid w:val="00F8001F"/>
    <w:rsid w:val="00F80EAC"/>
    <w:rsid w:val="00F815AF"/>
    <w:rsid w:val="00F82816"/>
    <w:rsid w:val="00F8348A"/>
    <w:rsid w:val="00F8399D"/>
    <w:rsid w:val="00F84430"/>
    <w:rsid w:val="00F84FE7"/>
    <w:rsid w:val="00F850AB"/>
    <w:rsid w:val="00F853B3"/>
    <w:rsid w:val="00F86617"/>
    <w:rsid w:val="00F86D83"/>
    <w:rsid w:val="00F900C8"/>
    <w:rsid w:val="00F90491"/>
    <w:rsid w:val="00F910C7"/>
    <w:rsid w:val="00F920E0"/>
    <w:rsid w:val="00F92466"/>
    <w:rsid w:val="00F92C62"/>
    <w:rsid w:val="00F944C7"/>
    <w:rsid w:val="00F94C30"/>
    <w:rsid w:val="00F95D19"/>
    <w:rsid w:val="00F95DA0"/>
    <w:rsid w:val="00F960CA"/>
    <w:rsid w:val="00F960E7"/>
    <w:rsid w:val="00F967D2"/>
    <w:rsid w:val="00F96B1A"/>
    <w:rsid w:val="00FA16E6"/>
    <w:rsid w:val="00FA29F6"/>
    <w:rsid w:val="00FA2A19"/>
    <w:rsid w:val="00FA2F0C"/>
    <w:rsid w:val="00FA2FD6"/>
    <w:rsid w:val="00FA36B9"/>
    <w:rsid w:val="00FA3999"/>
    <w:rsid w:val="00FA3DA1"/>
    <w:rsid w:val="00FA721C"/>
    <w:rsid w:val="00FA7CE7"/>
    <w:rsid w:val="00FA7DFD"/>
    <w:rsid w:val="00FB061F"/>
    <w:rsid w:val="00FB1380"/>
    <w:rsid w:val="00FB1663"/>
    <w:rsid w:val="00FB1718"/>
    <w:rsid w:val="00FB171A"/>
    <w:rsid w:val="00FB514B"/>
    <w:rsid w:val="00FB56A5"/>
    <w:rsid w:val="00FB6575"/>
    <w:rsid w:val="00FB6F4B"/>
    <w:rsid w:val="00FC054B"/>
    <w:rsid w:val="00FC0BC4"/>
    <w:rsid w:val="00FC25CF"/>
    <w:rsid w:val="00FC39E4"/>
    <w:rsid w:val="00FC4920"/>
    <w:rsid w:val="00FC4AE0"/>
    <w:rsid w:val="00FC590E"/>
    <w:rsid w:val="00FC5B86"/>
    <w:rsid w:val="00FC5B95"/>
    <w:rsid w:val="00FC61DB"/>
    <w:rsid w:val="00FC6693"/>
    <w:rsid w:val="00FC7F1E"/>
    <w:rsid w:val="00FD044C"/>
    <w:rsid w:val="00FD13F9"/>
    <w:rsid w:val="00FD29DA"/>
    <w:rsid w:val="00FD3E20"/>
    <w:rsid w:val="00FD42F0"/>
    <w:rsid w:val="00FD4A75"/>
    <w:rsid w:val="00FD5337"/>
    <w:rsid w:val="00FD60B5"/>
    <w:rsid w:val="00FD6F2C"/>
    <w:rsid w:val="00FE0166"/>
    <w:rsid w:val="00FE0B35"/>
    <w:rsid w:val="00FE1AAB"/>
    <w:rsid w:val="00FE273A"/>
    <w:rsid w:val="00FE2B69"/>
    <w:rsid w:val="00FE38DC"/>
    <w:rsid w:val="00FE53BA"/>
    <w:rsid w:val="00FE5561"/>
    <w:rsid w:val="00FE5998"/>
    <w:rsid w:val="00FE71E5"/>
    <w:rsid w:val="00FE7D28"/>
    <w:rsid w:val="00FE7D4F"/>
    <w:rsid w:val="00FF0739"/>
    <w:rsid w:val="00FF08FB"/>
    <w:rsid w:val="00FF0E19"/>
    <w:rsid w:val="00FF0F49"/>
    <w:rsid w:val="00FF11A9"/>
    <w:rsid w:val="00FF303C"/>
    <w:rsid w:val="00FF34A1"/>
    <w:rsid w:val="00FF38CE"/>
    <w:rsid w:val="00FF3C32"/>
    <w:rsid w:val="00FF4355"/>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B73"/>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link w:val="Heading5Char"/>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qFormat/>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TableofFigures">
    <w:name w:val="table of figures"/>
    <w:basedOn w:val="Normal"/>
    <w:next w:val="Normal"/>
    <w:uiPriority w:val="99"/>
    <w:unhideWhenUsed/>
    <w:rsid w:val="009F2ACD"/>
  </w:style>
  <w:style w:type="paragraph" w:customStyle="1" w:styleId="Agreement">
    <w:name w:val="Agreement"/>
    <w:basedOn w:val="Normal"/>
    <w:next w:val="Normal"/>
    <w:uiPriority w:val="99"/>
    <w:qFormat/>
    <w:rsid w:val="00C57D84"/>
    <w:pPr>
      <w:spacing w:before="60"/>
    </w:pPr>
    <w:rPr>
      <w:rFonts w:ascii="Arial" w:eastAsia="MS Mincho" w:hAnsi="Arial"/>
      <w:b/>
      <w:sz w:val="20"/>
      <w:lang w:val="en-GB" w:eastAsia="en-GB"/>
    </w:rPr>
  </w:style>
  <w:style w:type="character" w:customStyle="1" w:styleId="B1Zchn">
    <w:name w:val="B1 Zchn"/>
    <w:qFormat/>
    <w:rsid w:val="00BD56D7"/>
    <w:rPr>
      <w:lang w:val="x-none" w:eastAsia="en-US"/>
    </w:rPr>
  </w:style>
  <w:style w:type="character" w:customStyle="1" w:styleId="ui-provider">
    <w:name w:val="ui-provider"/>
    <w:basedOn w:val="DefaultParagraphFont"/>
    <w:rsid w:val="00BD56D7"/>
  </w:style>
  <w:style w:type="character" w:customStyle="1" w:styleId="ListParagraphChar1">
    <w:name w:val="List Paragraph Char1"/>
    <w:uiPriority w:val="34"/>
    <w:qFormat/>
    <w:rsid w:val="001469F9"/>
    <w:rPr>
      <w:rFonts w:ascii="Times New Roman" w:eastAsia="MS Gothic" w:hAnsi="Times New Roman"/>
      <w:sz w:val="24"/>
      <w:lang w:val="en-GB"/>
    </w:rPr>
  </w:style>
  <w:style w:type="character" w:customStyle="1" w:styleId="Heading5Char">
    <w:name w:val="Heading 5 Char"/>
    <w:aliases w:val="h5 Char"/>
    <w:basedOn w:val="DefaultParagraphFont"/>
    <w:link w:val="Heading5"/>
    <w:qFormat/>
    <w:rsid w:val="00F00033"/>
    <w:rPr>
      <w:rFonts w:ascii="Arial" w:eastAsia="Times New Roman"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35367953">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694119482">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08325512">
      <w:bodyDiv w:val="1"/>
      <w:marLeft w:val="0"/>
      <w:marRight w:val="0"/>
      <w:marTop w:val="0"/>
      <w:marBottom w:val="0"/>
      <w:divBdr>
        <w:top w:val="none" w:sz="0" w:space="0" w:color="auto"/>
        <w:left w:val="none" w:sz="0" w:space="0" w:color="auto"/>
        <w:bottom w:val="none" w:sz="0" w:space="0" w:color="auto"/>
        <w:right w:val="none" w:sz="0" w:space="0" w:color="auto"/>
      </w:divBdr>
    </w:div>
    <w:div w:id="843514077">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81951498">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07188943">
      <w:bodyDiv w:val="1"/>
      <w:marLeft w:val="0"/>
      <w:marRight w:val="0"/>
      <w:marTop w:val="0"/>
      <w:marBottom w:val="0"/>
      <w:divBdr>
        <w:top w:val="none" w:sz="0" w:space="0" w:color="auto"/>
        <w:left w:val="none" w:sz="0" w:space="0" w:color="auto"/>
        <w:bottom w:val="none" w:sz="0" w:space="0" w:color="auto"/>
        <w:right w:val="none" w:sz="0" w:space="0" w:color="auto"/>
      </w:divBdr>
      <w:divsChild>
        <w:div w:id="426343184">
          <w:marLeft w:val="2606"/>
          <w:marRight w:val="0"/>
          <w:marTop w:val="72"/>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19363969">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257011967">
      <w:bodyDiv w:val="1"/>
      <w:marLeft w:val="0"/>
      <w:marRight w:val="0"/>
      <w:marTop w:val="0"/>
      <w:marBottom w:val="0"/>
      <w:divBdr>
        <w:top w:val="none" w:sz="0" w:space="0" w:color="auto"/>
        <w:left w:val="none" w:sz="0" w:space="0" w:color="auto"/>
        <w:bottom w:val="none" w:sz="0" w:space="0" w:color="auto"/>
        <w:right w:val="none" w:sz="0" w:space="0" w:color="auto"/>
      </w:divBdr>
      <w:divsChild>
        <w:div w:id="1693804016">
          <w:marLeft w:val="446"/>
          <w:marRight w:val="0"/>
          <w:marTop w:val="120"/>
          <w:marBottom w:val="120"/>
          <w:divBdr>
            <w:top w:val="none" w:sz="0" w:space="0" w:color="auto"/>
            <w:left w:val="none" w:sz="0" w:space="0" w:color="auto"/>
            <w:bottom w:val="none" w:sz="0" w:space="0" w:color="auto"/>
            <w:right w:val="none" w:sz="0" w:space="0" w:color="auto"/>
          </w:divBdr>
        </w:div>
      </w:divsChild>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42927668">
      <w:bodyDiv w:val="1"/>
      <w:marLeft w:val="0"/>
      <w:marRight w:val="0"/>
      <w:marTop w:val="0"/>
      <w:marBottom w:val="0"/>
      <w:divBdr>
        <w:top w:val="none" w:sz="0" w:space="0" w:color="auto"/>
        <w:left w:val="none" w:sz="0" w:space="0" w:color="auto"/>
        <w:bottom w:val="none" w:sz="0" w:space="0" w:color="auto"/>
        <w:right w:val="none" w:sz="0" w:space="0" w:color="auto"/>
      </w:divBdr>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71342629">
      <w:bodyDiv w:val="1"/>
      <w:marLeft w:val="0"/>
      <w:marRight w:val="0"/>
      <w:marTop w:val="0"/>
      <w:marBottom w:val="0"/>
      <w:divBdr>
        <w:top w:val="none" w:sz="0" w:space="0" w:color="auto"/>
        <w:left w:val="none" w:sz="0" w:space="0" w:color="auto"/>
        <w:bottom w:val="none" w:sz="0" w:space="0" w:color="auto"/>
        <w:right w:val="none" w:sz="0" w:space="0" w:color="auto"/>
      </w:divBdr>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8A5B1410-FA9B-48B6-BDA5-3F428D1DF3EC}">
  <ds:schemaRefs>
    <ds:schemaRef ds:uri="http://schemas.openxmlformats.org/officeDocument/2006/bibliography"/>
  </ds:schemaRefs>
</ds:datastoreItem>
</file>

<file path=customXml/itemProps3.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60DBA1-70D9-44D7-8F33-718606D03F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1251</TotalTime>
  <Pages>4</Pages>
  <Words>1771</Words>
  <Characters>10099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Umut Ugurlu</cp:lastModifiedBy>
  <cp:revision>33</cp:revision>
  <cp:lastPrinted>2018-01-12T00:47:00Z</cp:lastPrinted>
  <dcterms:created xsi:type="dcterms:W3CDTF">2023-11-03T03:06:00Z</dcterms:created>
  <dcterms:modified xsi:type="dcterms:W3CDTF">2024-02-19T11:42:00Z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2022-11-03T19:55:13Z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38eb0371-5803-4719-87ba-84f5ae4626f2</vt:lpwstr>
  </property>
  <property fmtid="{D5CDD505-2E9C-101B-9397-08002B2CF9AE}" pid="14" name="MSIP_Label_83bcef13-7cac-433f-ba1d-47a323951816_ContentBits">
    <vt:lpwstr>0</vt:lpwstr>
  </property>
</Properties>
</file>